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EC6CA">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w:t>
      </w:r>
      <w:r>
        <w:rPr>
          <w:rFonts w:hint="eastAsia" w:ascii="Arial" w:hAnsi="Arial" w:eastAsia="宋体" w:cs="Arial"/>
          <w:b/>
          <w:sz w:val="28"/>
          <w:szCs w:val="28"/>
          <w:lang w:val="en-US" w:eastAsia="zh-CN"/>
        </w:rPr>
        <w:t>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RP-252577</w:t>
      </w:r>
    </w:p>
    <w:p w14:paraId="4B84BA20">
      <w:pPr>
        <w:keepLines/>
        <w:tabs>
          <w:tab w:val="left" w:pos="567"/>
        </w:tabs>
        <w:rPr>
          <w:rFonts w:ascii="Arial" w:hAnsi="Arial" w:cs="Arial"/>
          <w:b/>
          <w:sz w:val="28"/>
          <w:szCs w:val="28"/>
        </w:rPr>
      </w:pPr>
      <w:r>
        <w:rPr>
          <w:rFonts w:hint="eastAsia" w:ascii="Arial" w:hAnsi="Arial" w:eastAsia="宋体" w:cs="Arial"/>
          <w:b/>
          <w:sz w:val="28"/>
          <w:szCs w:val="28"/>
          <w:lang w:val="en-US" w:eastAsia="zh-CN"/>
        </w:rPr>
        <w:t>Beijing</w:t>
      </w:r>
      <w:r>
        <w:rPr>
          <w:rFonts w:ascii="Arial" w:hAnsi="Arial" w:cs="Arial"/>
          <w:b/>
          <w:sz w:val="28"/>
          <w:szCs w:val="28"/>
        </w:rPr>
        <w:t xml:space="preserve">, </w:t>
      </w:r>
      <w:r>
        <w:rPr>
          <w:rFonts w:hint="eastAsia" w:ascii="Arial" w:hAnsi="Arial" w:eastAsia="宋体" w:cs="Arial"/>
          <w:b/>
          <w:sz w:val="28"/>
          <w:szCs w:val="28"/>
          <w:lang w:val="en-US" w:eastAsia="zh-CN"/>
        </w:rPr>
        <w:t>China</w:t>
      </w:r>
      <w:r>
        <w:rPr>
          <w:rFonts w:ascii="Arial" w:hAnsi="Arial" w:cs="Arial"/>
          <w:b/>
          <w:sz w:val="28"/>
          <w:szCs w:val="28"/>
        </w:rPr>
        <w:t xml:space="preserve">, </w:t>
      </w:r>
      <w:r>
        <w:rPr>
          <w:rFonts w:hint="eastAsia" w:ascii="Arial" w:hAnsi="Arial" w:eastAsia="宋体" w:cs="Arial"/>
          <w:b/>
          <w:sz w:val="28"/>
          <w:szCs w:val="28"/>
          <w:lang w:val="en-US" w:eastAsia="zh-CN"/>
        </w:rPr>
        <w:t>Sep</w:t>
      </w:r>
      <w:r>
        <w:rPr>
          <w:rFonts w:ascii="Arial" w:hAnsi="Arial" w:cs="Arial"/>
          <w:b/>
          <w:sz w:val="28"/>
          <w:szCs w:val="28"/>
        </w:rPr>
        <w:t xml:space="preserve"> </w:t>
      </w:r>
      <w:r>
        <w:rPr>
          <w:rFonts w:hint="eastAsia" w:ascii="Arial" w:hAnsi="Arial" w:eastAsia="宋体" w:cs="Arial"/>
          <w:b/>
          <w:sz w:val="28"/>
          <w:szCs w:val="28"/>
          <w:lang w:val="en-US" w:eastAsia="zh-CN"/>
        </w:rPr>
        <w:t>15</w:t>
      </w:r>
      <w:r>
        <w:rPr>
          <w:rFonts w:ascii="Arial" w:hAnsi="Arial" w:cs="Arial"/>
          <w:b/>
          <w:sz w:val="28"/>
          <w:szCs w:val="28"/>
        </w:rPr>
        <w:t>-1</w:t>
      </w:r>
      <w:r>
        <w:rPr>
          <w:rFonts w:hint="eastAsia" w:ascii="Arial" w:hAnsi="Arial" w:eastAsia="宋体" w:cs="Arial"/>
          <w:b/>
          <w:sz w:val="28"/>
          <w:szCs w:val="28"/>
          <w:lang w:val="en-US" w:eastAsia="zh-CN"/>
        </w:rPr>
        <w:t>8</w:t>
      </w:r>
      <w:r>
        <w:rPr>
          <w:rFonts w:ascii="Arial" w:hAnsi="Arial" w:cs="Arial"/>
          <w:b/>
          <w:sz w:val="28"/>
          <w:szCs w:val="28"/>
        </w:rPr>
        <w:t>, 2025</w:t>
      </w:r>
    </w:p>
    <w:p w14:paraId="4BFDD6D0">
      <w:pPr>
        <w:pStyle w:val="3"/>
        <w:jc w:val="center"/>
        <w:rPr>
          <w:u w:val="single"/>
        </w:rPr>
      </w:pPr>
      <w:r>
        <w:rPr>
          <w:u w:val="single"/>
        </w:rPr>
        <w:t>Status Report to TSG</w:t>
      </w:r>
    </w:p>
    <w:p w14:paraId="309ACDF9">
      <w:pPr>
        <w:tabs>
          <w:tab w:val="left" w:pos="567"/>
        </w:tabs>
        <w:rPr>
          <w:rFonts w:hint="eastAsia" w:ascii="Arial" w:hAnsi="Arial" w:eastAsia="宋体"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b/>
        </w:rPr>
        <w:t>9.6.4.2</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7DDE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5D1D6EB">
            <w:pPr>
              <w:tabs>
                <w:tab w:val="left" w:pos="567"/>
              </w:tabs>
              <w:spacing w:after="0"/>
              <w:rPr>
                <w:rFonts w:ascii="Arial" w:hAnsi="Arial" w:cs="Arial"/>
                <w:b/>
              </w:rPr>
            </w:pPr>
            <w:r>
              <w:rPr>
                <w:rFonts w:ascii="Arial" w:hAnsi="Arial" w:cs="Arial"/>
                <w:b/>
              </w:rPr>
              <w:t>WI / SI Name</w:t>
            </w:r>
          </w:p>
        </w:tc>
        <w:tc>
          <w:tcPr>
            <w:tcW w:w="7650" w:type="dxa"/>
            <w:gridSpan w:val="5"/>
          </w:tcPr>
          <w:p w14:paraId="3F057CBF">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ascii="Arial" w:hAnsi="Arial" w:cs="Arial"/>
              </w:rPr>
              <w:t>NR base station (BS) RF requirement evolution for FR1/FR2 and testing</w:t>
            </w:r>
          </w:p>
        </w:tc>
      </w:tr>
      <w:tr w14:paraId="7DFA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6C2F92ED">
            <w:pPr>
              <w:tabs>
                <w:tab w:val="left" w:pos="567"/>
              </w:tabs>
              <w:spacing w:after="0"/>
              <w:rPr>
                <w:rFonts w:ascii="Arial" w:hAnsi="Arial" w:cs="Arial"/>
                <w:bCs/>
              </w:rPr>
            </w:pPr>
            <w:r>
              <w:rPr>
                <w:rFonts w:ascii="Arial" w:hAnsi="Arial" w:cs="Arial"/>
                <w:bCs/>
              </w:rPr>
              <w:t>included in this status report</w:t>
            </w:r>
          </w:p>
        </w:tc>
        <w:tc>
          <w:tcPr>
            <w:tcW w:w="1846" w:type="dxa"/>
          </w:tcPr>
          <w:p w14:paraId="6FBD419A">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3AF9475">
            <w:pPr>
              <w:tabs>
                <w:tab w:val="left" w:pos="567"/>
              </w:tabs>
              <w:spacing w:after="0"/>
              <w:rPr>
                <w:rFonts w:ascii="Arial" w:hAnsi="Arial" w:cs="Arial"/>
              </w:rPr>
            </w:pPr>
            <w:r>
              <w:rPr>
                <w:rFonts w:ascii="Arial" w:hAnsi="Arial" w:cs="Arial"/>
                <w:lang w:eastAsia="ja-JP"/>
              </w:rPr>
              <w:t>No</w:t>
            </w:r>
          </w:p>
        </w:tc>
        <w:tc>
          <w:tcPr>
            <w:tcW w:w="1842" w:type="dxa"/>
          </w:tcPr>
          <w:p w14:paraId="4A39774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0DFFCA0">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6B90A1D0">
            <w:pPr>
              <w:tabs>
                <w:tab w:val="left" w:pos="567"/>
              </w:tabs>
              <w:spacing w:after="0"/>
              <w:rPr>
                <w:rFonts w:ascii="Arial" w:hAnsi="Arial" w:cs="Arial"/>
              </w:rPr>
            </w:pPr>
            <w:r>
              <w:rPr>
                <w:rFonts w:ascii="Arial" w:hAnsi="Arial" w:cs="Arial"/>
              </w:rPr>
              <w:t>Performance part:</w:t>
            </w:r>
          </w:p>
          <w:p w14:paraId="5030284B">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248D66CF">
            <w:pPr>
              <w:tabs>
                <w:tab w:val="left" w:pos="567"/>
              </w:tabs>
              <w:spacing w:after="0"/>
              <w:rPr>
                <w:rFonts w:ascii="Arial" w:hAnsi="Arial" w:cs="Arial"/>
              </w:rPr>
            </w:pPr>
            <w:r>
              <w:rPr>
                <w:rFonts w:ascii="Arial" w:hAnsi="Arial" w:cs="Arial"/>
              </w:rPr>
              <w:t>Testing part:</w:t>
            </w:r>
          </w:p>
          <w:p w14:paraId="4C2F1E2A">
            <w:pPr>
              <w:tabs>
                <w:tab w:val="left" w:pos="567"/>
              </w:tabs>
              <w:spacing w:after="0"/>
              <w:rPr>
                <w:rFonts w:ascii="Arial" w:hAnsi="Arial" w:cs="Arial"/>
                <w:lang w:eastAsia="ja-JP"/>
              </w:rPr>
            </w:pPr>
            <w:r>
              <w:rPr>
                <w:rFonts w:hint="eastAsia" w:ascii="Arial" w:hAnsi="Arial" w:cs="Arial"/>
                <w:lang w:eastAsia="ja-JP"/>
              </w:rPr>
              <w:t>No</w:t>
            </w:r>
          </w:p>
        </w:tc>
      </w:tr>
      <w:tr w14:paraId="42B0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A21EE1">
            <w:pPr>
              <w:tabs>
                <w:tab w:val="left" w:pos="567"/>
              </w:tabs>
              <w:spacing w:after="0"/>
              <w:rPr>
                <w:rFonts w:ascii="Arial" w:hAnsi="Arial" w:cs="Arial"/>
              </w:rPr>
            </w:pPr>
            <w:r>
              <w:rPr>
                <w:rFonts w:ascii="Arial" w:hAnsi="Arial" w:cs="Arial"/>
              </w:rPr>
              <w:t>Acronym</w:t>
            </w:r>
          </w:p>
        </w:tc>
        <w:tc>
          <w:tcPr>
            <w:tcW w:w="7650" w:type="dxa"/>
            <w:gridSpan w:val="5"/>
          </w:tcPr>
          <w:p w14:paraId="60EAEB7F">
            <w:pPr>
              <w:tabs>
                <w:tab w:val="left" w:pos="567"/>
              </w:tabs>
              <w:spacing w:after="0"/>
              <w:rPr>
                <w:rFonts w:ascii="Arial" w:hAnsi="Arial" w:cs="Arial"/>
              </w:rPr>
            </w:pPr>
            <w:bookmarkStart w:id="0" w:name="OLE_LINK215"/>
            <w:bookmarkStart w:id="1" w:name="OLE_LINK214"/>
            <w:r>
              <w:rPr>
                <w:rFonts w:ascii="Arial" w:hAnsi="Arial" w:cs="Arial"/>
              </w:rPr>
              <w:t>NR_BS_RF_req_evo</w:t>
            </w:r>
            <w:bookmarkEnd w:id="0"/>
            <w:bookmarkEnd w:id="1"/>
          </w:p>
        </w:tc>
      </w:tr>
      <w:tr w14:paraId="7136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E3C3C7">
            <w:pPr>
              <w:tabs>
                <w:tab w:val="left" w:pos="567"/>
              </w:tabs>
              <w:spacing w:after="0"/>
              <w:rPr>
                <w:rFonts w:ascii="Arial" w:hAnsi="Arial" w:cs="Arial"/>
                <w:b/>
              </w:rPr>
            </w:pPr>
            <w:r>
              <w:rPr>
                <w:rFonts w:ascii="Arial" w:hAnsi="Arial" w:cs="Arial"/>
                <w:b/>
              </w:rPr>
              <w:t>Unique ID</w:t>
            </w:r>
          </w:p>
        </w:tc>
        <w:tc>
          <w:tcPr>
            <w:tcW w:w="7650" w:type="dxa"/>
            <w:gridSpan w:val="5"/>
          </w:tcPr>
          <w:p w14:paraId="1283008A">
            <w:pPr>
              <w:tabs>
                <w:tab w:val="left" w:pos="567"/>
              </w:tabs>
              <w:spacing w:after="0"/>
              <w:rPr>
                <w:rFonts w:ascii="Arial" w:hAnsi="Arial" w:eastAsia="宋体" w:cs="Arial"/>
                <w:lang w:val="en-US" w:eastAsia="zh-CN"/>
              </w:rPr>
            </w:pPr>
            <w:r>
              <w:rPr>
                <w:rFonts w:ascii="Arial" w:hAnsi="Arial" w:cs="Arial"/>
              </w:rPr>
              <w:t>10300</w:t>
            </w:r>
            <w:r>
              <w:rPr>
                <w:rFonts w:hint="eastAsia" w:ascii="Arial" w:hAnsi="Arial" w:eastAsia="宋体" w:cs="Arial"/>
                <w:lang w:val="en-US" w:eastAsia="zh-CN"/>
              </w:rPr>
              <w:t>78</w:t>
            </w:r>
          </w:p>
        </w:tc>
      </w:tr>
      <w:tr w14:paraId="4237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4C98C3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32E1C25">
            <w:pPr>
              <w:tabs>
                <w:tab w:val="left" w:pos="567"/>
              </w:tabs>
              <w:spacing w:after="0"/>
              <w:rPr>
                <w:rFonts w:ascii="Arial" w:hAnsi="Arial" w:cs="Arial"/>
              </w:rPr>
            </w:pPr>
            <w:r>
              <w:rPr>
                <w:rFonts w:ascii="Arial" w:hAnsi="Arial" w:cs="Arial"/>
              </w:rPr>
              <w:fldChar w:fldCharType="begin"/>
            </w:r>
            <w:r>
              <w:rPr>
                <w:rFonts w:ascii="Arial" w:hAnsi="Arial" w:cs="Arial"/>
              </w:rPr>
              <w:instrText xml:space="preserve"> HYPERLINK "https://www.3gpp.org/ftp/TSG_RAN/TSG_RAN/TSGR_106/Docs/RP-243270.zip" \t "https://portal.3gpp.org/ngppapp/_blank" </w:instrText>
            </w:r>
            <w:r>
              <w:rPr>
                <w:rFonts w:ascii="Arial" w:hAnsi="Arial" w:cs="Arial"/>
              </w:rPr>
              <w:fldChar w:fldCharType="separate"/>
            </w:r>
            <w:r>
              <w:rPr>
                <w:rFonts w:hint="default" w:ascii="Arial" w:hAnsi="Arial" w:cs="Arial"/>
              </w:rPr>
              <w:t>RP-243270</w:t>
            </w:r>
            <w:r>
              <w:rPr>
                <w:rFonts w:hint="default" w:ascii="Arial" w:hAnsi="Arial" w:cs="Arial"/>
              </w:rPr>
              <w:fldChar w:fldCharType="end"/>
            </w:r>
          </w:p>
        </w:tc>
      </w:tr>
      <w:tr w14:paraId="4F69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E7126AD">
            <w:pPr>
              <w:tabs>
                <w:tab w:val="left" w:pos="567"/>
              </w:tabs>
              <w:spacing w:after="0"/>
              <w:rPr>
                <w:rFonts w:ascii="Arial" w:hAnsi="Arial" w:cs="Arial"/>
                <w:b/>
              </w:rPr>
            </w:pPr>
            <w:r>
              <w:rPr>
                <w:rFonts w:ascii="Arial" w:hAnsi="Arial" w:cs="Arial"/>
                <w:b/>
              </w:rPr>
              <w:t>Target Completion Date</w:t>
            </w:r>
          </w:p>
          <w:p w14:paraId="7ECC33D8">
            <w:pPr>
              <w:tabs>
                <w:tab w:val="left" w:pos="567"/>
              </w:tabs>
              <w:spacing w:after="0"/>
              <w:rPr>
                <w:rFonts w:ascii="Arial" w:hAnsi="Arial" w:cs="Arial"/>
                <w:b/>
              </w:rPr>
            </w:pPr>
            <w:r>
              <w:rPr>
                <w:rFonts w:ascii="Arial" w:hAnsi="Arial" w:cs="Arial"/>
                <w:b/>
              </w:rPr>
              <w:t>(indicate if changed)</w:t>
            </w:r>
          </w:p>
        </w:tc>
        <w:tc>
          <w:tcPr>
            <w:tcW w:w="1846" w:type="dxa"/>
          </w:tcPr>
          <w:p w14:paraId="5D8AAB23">
            <w:pPr>
              <w:tabs>
                <w:tab w:val="left" w:pos="567"/>
              </w:tabs>
              <w:spacing w:after="0"/>
              <w:rPr>
                <w:rFonts w:ascii="Arial" w:hAnsi="Arial" w:cs="Arial"/>
                <w:lang w:eastAsia="ja-JP"/>
              </w:rPr>
            </w:pPr>
            <w:r>
              <w:rPr>
                <w:rFonts w:ascii="Arial" w:hAnsi="Arial" w:cs="Arial"/>
                <w:lang w:eastAsia="ja-JP"/>
              </w:rPr>
              <w:t xml:space="preserve">Study Item: </w:t>
            </w:r>
          </w:p>
          <w:p w14:paraId="65362521">
            <w:pPr>
              <w:tabs>
                <w:tab w:val="left" w:pos="567"/>
              </w:tabs>
              <w:spacing w:after="0"/>
              <w:rPr>
                <w:rFonts w:ascii="Arial" w:hAnsi="Arial" w:cs="Arial"/>
                <w:lang w:eastAsia="ja-JP"/>
              </w:rPr>
            </w:pPr>
            <w:r>
              <w:rPr>
                <w:rFonts w:ascii="Arial" w:hAnsi="Arial" w:cs="Arial"/>
                <w:lang w:eastAsia="ja-JP"/>
              </w:rPr>
              <w:t>NA</w:t>
            </w:r>
          </w:p>
        </w:tc>
        <w:tc>
          <w:tcPr>
            <w:tcW w:w="1842" w:type="dxa"/>
          </w:tcPr>
          <w:p w14:paraId="416F7573">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Core part: </w:t>
            </w:r>
          </w:p>
          <w:p w14:paraId="1EAE652D">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12</w:t>
            </w:r>
            <w:r>
              <w:rPr>
                <w:rFonts w:hint="eastAsia" w:ascii="Arial" w:hAnsi="Arial" w:cs="Arial" w:eastAsiaTheme="minorEastAsia"/>
                <w:lang w:eastAsia="zh-CN"/>
              </w:rPr>
              <w:t>/2025</w:t>
            </w:r>
            <w:r>
              <w:rPr>
                <w:rFonts w:hint="eastAsia" w:ascii="Arial" w:hAnsi="Arial" w:cs="Arial" w:eastAsiaTheme="minorEastAsia"/>
                <w:lang w:val="en-US" w:eastAsia="zh-CN"/>
              </w:rPr>
              <w:t xml:space="preserve"> (updated from 09/25)</w:t>
            </w:r>
          </w:p>
        </w:tc>
        <w:tc>
          <w:tcPr>
            <w:tcW w:w="2268" w:type="dxa"/>
          </w:tcPr>
          <w:p w14:paraId="163E9351">
            <w:pPr>
              <w:tabs>
                <w:tab w:val="left" w:pos="567"/>
              </w:tabs>
              <w:spacing w:after="0"/>
              <w:rPr>
                <w:rFonts w:hint="eastAsia" w:ascii="Arial" w:hAnsi="Arial" w:cs="Arial" w:eastAsiaTheme="minorEastAsia"/>
                <w:lang w:eastAsia="zh-CN"/>
              </w:rPr>
            </w:pPr>
            <w:r>
              <w:rPr>
                <w:rFonts w:hint="eastAsia" w:ascii="Arial" w:hAnsi="Arial" w:cs="Arial" w:eastAsiaTheme="minorEastAsia"/>
                <w:lang w:eastAsia="ja-JP"/>
              </w:rPr>
              <w:t xml:space="preserve">Performance part: </w:t>
            </w:r>
            <w:r>
              <w:rPr>
                <w:rFonts w:hint="eastAsia" w:ascii="Arial" w:hAnsi="Arial" w:cs="Arial" w:eastAsiaTheme="minorEastAsia"/>
                <w:lang w:eastAsia="zh-CN"/>
              </w:rPr>
              <w:t>03</w:t>
            </w:r>
            <w:r>
              <w:rPr>
                <w:rFonts w:hint="eastAsia" w:ascii="Arial" w:hAnsi="Arial" w:cs="Arial" w:eastAsiaTheme="minorEastAsia"/>
                <w:lang w:eastAsia="ja-JP"/>
              </w:rPr>
              <w:t>/20</w:t>
            </w:r>
            <w:r>
              <w:rPr>
                <w:rFonts w:hint="eastAsia" w:ascii="Arial" w:hAnsi="Arial" w:cs="Arial" w:eastAsiaTheme="minorEastAsia"/>
                <w:lang w:eastAsia="zh-CN"/>
              </w:rPr>
              <w:t>26</w:t>
            </w:r>
          </w:p>
        </w:tc>
        <w:tc>
          <w:tcPr>
            <w:tcW w:w="1694" w:type="dxa"/>
            <w:gridSpan w:val="2"/>
          </w:tcPr>
          <w:p w14:paraId="2F4D68F9">
            <w:pPr>
              <w:tabs>
                <w:tab w:val="left" w:pos="567"/>
              </w:tabs>
              <w:spacing w:after="0"/>
              <w:rPr>
                <w:rFonts w:ascii="Arial" w:hAnsi="Arial" w:cs="Arial"/>
                <w:lang w:eastAsia="ja-JP"/>
              </w:rPr>
            </w:pPr>
            <w:r>
              <w:rPr>
                <w:rFonts w:ascii="Arial" w:hAnsi="Arial" w:cs="Arial"/>
                <w:lang w:eastAsia="ja-JP"/>
              </w:rPr>
              <w:t xml:space="preserve">Testing part: </w:t>
            </w:r>
          </w:p>
          <w:p w14:paraId="4A8B92EF">
            <w:pPr>
              <w:tabs>
                <w:tab w:val="left" w:pos="567"/>
              </w:tabs>
              <w:spacing w:after="0"/>
              <w:rPr>
                <w:rFonts w:ascii="Arial" w:hAnsi="Arial" w:cs="Arial"/>
                <w:highlight w:val="yellow"/>
                <w:lang w:eastAsia="ja-JP"/>
              </w:rPr>
            </w:pPr>
            <w:r>
              <w:rPr>
                <w:rFonts w:ascii="Arial" w:hAnsi="Arial" w:cs="Arial"/>
                <w:lang w:eastAsia="ja-JP"/>
              </w:rPr>
              <w:t>NA</w:t>
            </w:r>
          </w:p>
        </w:tc>
      </w:tr>
      <w:tr w14:paraId="4607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8EBB8CB">
            <w:pPr>
              <w:tabs>
                <w:tab w:val="left" w:pos="567"/>
              </w:tabs>
              <w:spacing w:after="0"/>
              <w:rPr>
                <w:rFonts w:ascii="Arial" w:hAnsi="Arial" w:cs="Arial"/>
                <w:b/>
              </w:rPr>
            </w:pPr>
            <w:r>
              <w:rPr>
                <w:rFonts w:ascii="Arial" w:hAnsi="Arial" w:cs="Arial"/>
                <w:b/>
              </w:rPr>
              <w:t>Overall Completion level</w:t>
            </w:r>
          </w:p>
        </w:tc>
        <w:tc>
          <w:tcPr>
            <w:tcW w:w="1846" w:type="dxa"/>
          </w:tcPr>
          <w:p w14:paraId="16CC518A">
            <w:pPr>
              <w:tabs>
                <w:tab w:val="left" w:pos="567"/>
              </w:tabs>
              <w:spacing w:after="0"/>
              <w:rPr>
                <w:rFonts w:ascii="Arial" w:hAnsi="Arial" w:cs="Arial"/>
                <w:lang w:eastAsia="ja-JP"/>
              </w:rPr>
            </w:pPr>
            <w:r>
              <w:rPr>
                <w:rFonts w:ascii="Arial" w:hAnsi="Arial" w:cs="Arial"/>
                <w:lang w:eastAsia="ja-JP"/>
              </w:rPr>
              <w:t xml:space="preserve">Study Item: </w:t>
            </w:r>
          </w:p>
          <w:p w14:paraId="20B985C1">
            <w:pPr>
              <w:tabs>
                <w:tab w:val="left" w:pos="567"/>
              </w:tabs>
              <w:spacing w:after="0"/>
              <w:rPr>
                <w:rFonts w:ascii="Arial" w:hAnsi="Arial" w:cs="Arial"/>
                <w:lang w:eastAsia="ja-JP"/>
              </w:rPr>
            </w:pPr>
            <w:r>
              <w:rPr>
                <w:rFonts w:ascii="Arial" w:hAnsi="Arial" w:cs="Arial"/>
                <w:lang w:eastAsia="ja-JP"/>
              </w:rPr>
              <w:t>NA</w:t>
            </w:r>
          </w:p>
        </w:tc>
        <w:tc>
          <w:tcPr>
            <w:tcW w:w="1842" w:type="dxa"/>
          </w:tcPr>
          <w:p w14:paraId="03158D17">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Core part: </w:t>
            </w:r>
          </w:p>
          <w:p w14:paraId="3006397F">
            <w:pPr>
              <w:tabs>
                <w:tab w:val="left" w:pos="567"/>
              </w:tabs>
              <w:spacing w:after="0"/>
              <w:rPr>
                <w:rFonts w:hint="eastAsia" w:ascii="Arial" w:hAnsi="Arial" w:cs="Arial" w:eastAsiaTheme="minorEastAsia"/>
                <w:lang w:val="en-US" w:eastAsia="ja-JP"/>
              </w:rPr>
            </w:pPr>
            <w:r>
              <w:rPr>
                <w:rFonts w:hint="eastAsia" w:ascii="Arial" w:hAnsi="Arial" w:cs="Arial" w:eastAsiaTheme="minorEastAsia"/>
                <w:lang w:val="en-US" w:eastAsia="zh-CN"/>
              </w:rPr>
              <w:t>85</w:t>
            </w:r>
            <w:r>
              <w:rPr>
                <w:rFonts w:hint="eastAsia" w:ascii="Arial" w:hAnsi="Arial" w:cs="Arial" w:eastAsiaTheme="minorEastAsia"/>
                <w:lang w:val="en-US" w:eastAsia="ja-JP"/>
              </w:rPr>
              <w:t>%</w:t>
            </w:r>
          </w:p>
          <w:p w14:paraId="21F83064">
            <w:pPr>
              <w:tabs>
                <w:tab w:val="left" w:pos="567"/>
              </w:tabs>
              <w:spacing w:after="0"/>
              <w:rPr>
                <w:rFonts w:hint="eastAsia" w:ascii="Arial" w:hAnsi="Arial" w:cs="Arial" w:eastAsiaTheme="minorEastAsia"/>
                <w:lang w:val="en-US" w:eastAsia="zh-CN"/>
              </w:rPr>
            </w:pPr>
          </w:p>
        </w:tc>
        <w:tc>
          <w:tcPr>
            <w:tcW w:w="2268" w:type="dxa"/>
          </w:tcPr>
          <w:p w14:paraId="204FBAC0">
            <w:pPr>
              <w:tabs>
                <w:tab w:val="left" w:pos="567"/>
              </w:tabs>
              <w:spacing w:after="0"/>
              <w:rPr>
                <w:rFonts w:hint="eastAsia" w:ascii="Arial" w:hAnsi="Arial" w:cs="Arial" w:eastAsiaTheme="minorEastAsia"/>
                <w:lang w:eastAsia="ja-JP"/>
              </w:rPr>
            </w:pPr>
            <w:r>
              <w:rPr>
                <w:rFonts w:hint="eastAsia" w:ascii="Arial" w:hAnsi="Arial" w:cs="Arial" w:eastAsiaTheme="minorEastAsia"/>
                <w:lang w:eastAsia="ja-JP"/>
              </w:rPr>
              <w:t xml:space="preserve">Performance Part: </w:t>
            </w:r>
          </w:p>
          <w:p w14:paraId="7FCA971B">
            <w:pPr>
              <w:tabs>
                <w:tab w:val="left" w:pos="567"/>
              </w:tabs>
              <w:spacing w:after="0"/>
              <w:rPr>
                <w:rFonts w:hint="eastAsia" w:ascii="Arial" w:hAnsi="Arial" w:cs="Arial" w:eastAsiaTheme="minorEastAsia"/>
                <w:lang w:val="en-US" w:eastAsia="zh-CN"/>
              </w:rPr>
            </w:pPr>
            <w:r>
              <w:rPr>
                <w:rFonts w:hint="eastAsia" w:ascii="Arial" w:hAnsi="Arial" w:cs="Arial" w:eastAsiaTheme="minorEastAsia"/>
                <w:lang w:val="en-US" w:eastAsia="zh-CN"/>
              </w:rPr>
              <w:t>60%</w:t>
            </w:r>
          </w:p>
          <w:p w14:paraId="7AE68EA2">
            <w:pPr>
              <w:tabs>
                <w:tab w:val="left" w:pos="567"/>
              </w:tabs>
              <w:spacing w:after="0"/>
              <w:rPr>
                <w:rFonts w:hint="eastAsia" w:ascii="Arial" w:hAnsi="Arial" w:cs="Arial" w:eastAsiaTheme="minorEastAsia"/>
                <w:lang w:eastAsia="ja-JP"/>
              </w:rPr>
            </w:pPr>
          </w:p>
        </w:tc>
        <w:tc>
          <w:tcPr>
            <w:tcW w:w="1694" w:type="dxa"/>
            <w:gridSpan w:val="2"/>
          </w:tcPr>
          <w:p w14:paraId="21D2DABC">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p>
          <w:p w14:paraId="64C90C1A">
            <w:pPr>
              <w:tabs>
                <w:tab w:val="left" w:pos="567"/>
              </w:tabs>
              <w:spacing w:after="0"/>
              <w:rPr>
                <w:rFonts w:ascii="Arial" w:hAnsi="Arial" w:cs="Arial"/>
                <w:highlight w:val="none"/>
                <w:lang w:eastAsia="ja-JP"/>
              </w:rPr>
            </w:pPr>
            <w:r>
              <w:rPr>
                <w:rFonts w:ascii="Arial" w:hAnsi="Arial" w:cs="Arial"/>
                <w:highlight w:val="none"/>
                <w:lang w:eastAsia="ja-JP"/>
              </w:rPr>
              <w:t>NA</w:t>
            </w:r>
          </w:p>
        </w:tc>
      </w:tr>
    </w:tbl>
    <w:p w14:paraId="2D054700">
      <w:pPr>
        <w:tabs>
          <w:tab w:val="left" w:pos="567"/>
        </w:tabs>
        <w:spacing w:after="0"/>
        <w:rPr>
          <w:rFonts w:ascii="Arial" w:hAnsi="Arial" w:cs="Arial"/>
        </w:rPr>
      </w:pPr>
      <w:r>
        <w:rPr>
          <w:rFonts w:ascii="Arial" w:hAnsi="Arial" w:cs="Arial"/>
        </w:rPr>
        <w:t>Note: Overall completion level percentage numbers should use one of the colors below:</w:t>
      </w:r>
    </w:p>
    <w:p w14:paraId="316DD348">
      <w:pPr>
        <w:pStyle w:val="134"/>
        <w:numPr>
          <w:ilvl w:val="0"/>
          <w:numId w:val="1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3CFF4A2">
      <w:pPr>
        <w:pStyle w:val="134"/>
        <w:numPr>
          <w:ilvl w:val="0"/>
          <w:numId w:val="1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F7FD455">
      <w:pPr>
        <w:pStyle w:val="134"/>
        <w:numPr>
          <w:ilvl w:val="0"/>
          <w:numId w:val="1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329285">
      <w:pPr>
        <w:pStyle w:val="134"/>
        <w:tabs>
          <w:tab w:val="left" w:pos="567"/>
        </w:tabs>
        <w:ind w:left="924" w:leftChars="0"/>
        <w:rPr>
          <w:rFonts w:ascii="Arial" w:hAnsi="Arial" w:cs="Arial"/>
          <w:color w:val="FF0000"/>
        </w:rPr>
      </w:pPr>
    </w:p>
    <w:p w14:paraId="40FCB2B7">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165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AC72714">
            <w:pPr>
              <w:tabs>
                <w:tab w:val="left" w:pos="567"/>
              </w:tabs>
              <w:spacing w:after="0"/>
              <w:rPr>
                <w:rFonts w:ascii="Arial" w:hAnsi="Arial" w:cs="Arial"/>
                <w:b/>
              </w:rPr>
            </w:pPr>
            <w:r>
              <w:rPr>
                <w:rFonts w:ascii="Arial" w:hAnsi="Arial" w:cs="Arial"/>
                <w:b/>
              </w:rPr>
              <w:t>Leading WG</w:t>
            </w:r>
          </w:p>
        </w:tc>
        <w:tc>
          <w:tcPr>
            <w:tcW w:w="7489" w:type="dxa"/>
          </w:tcPr>
          <w:p w14:paraId="29FD806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14:paraId="6424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380927C">
            <w:pPr>
              <w:tabs>
                <w:tab w:val="left" w:pos="567"/>
              </w:tabs>
              <w:rPr>
                <w:rFonts w:ascii="Arial" w:hAnsi="Arial" w:cs="Arial"/>
                <w:b/>
              </w:rPr>
            </w:pPr>
            <w:r>
              <w:rPr>
                <w:rFonts w:ascii="Arial" w:hAnsi="Arial" w:cs="Arial"/>
                <w:b/>
              </w:rPr>
              <w:t>Rapporteur</w:t>
            </w:r>
          </w:p>
        </w:tc>
        <w:tc>
          <w:tcPr>
            <w:tcW w:w="1340" w:type="dxa"/>
          </w:tcPr>
          <w:p w14:paraId="6E3614A2">
            <w:pPr>
              <w:tabs>
                <w:tab w:val="left" w:pos="567"/>
              </w:tabs>
              <w:spacing w:after="0"/>
              <w:rPr>
                <w:rFonts w:ascii="Arial" w:hAnsi="Arial" w:cs="Arial"/>
                <w:b/>
              </w:rPr>
            </w:pPr>
            <w:r>
              <w:rPr>
                <w:rFonts w:ascii="Arial" w:hAnsi="Arial" w:cs="Arial"/>
                <w:b/>
              </w:rPr>
              <w:t>Name</w:t>
            </w:r>
          </w:p>
        </w:tc>
        <w:tc>
          <w:tcPr>
            <w:tcW w:w="7489" w:type="dxa"/>
          </w:tcPr>
          <w:p w14:paraId="08A4FFBF">
            <w:pPr>
              <w:tabs>
                <w:tab w:val="left" w:pos="567"/>
              </w:tabs>
              <w:spacing w:after="0"/>
              <w:rPr>
                <w:rFonts w:ascii="Arial" w:hAnsi="Arial" w:eastAsia="宋体" w:cs="Arial"/>
                <w:lang w:val="en-US" w:eastAsia="zh-CN"/>
              </w:rPr>
            </w:pPr>
            <w:r>
              <w:rPr>
                <w:rFonts w:hint="eastAsia" w:ascii="Arial" w:hAnsi="Arial" w:eastAsia="宋体" w:cs="Arial"/>
                <w:lang w:val="en-US" w:eastAsia="zh-CN"/>
              </w:rPr>
              <w:t>Xue</w:t>
            </w:r>
            <w:r>
              <w:rPr>
                <w:rFonts w:ascii="Arial" w:hAnsi="Arial" w:eastAsia="宋体" w:cs="Arial"/>
                <w:lang w:eastAsia="zh-CN"/>
              </w:rPr>
              <w:t xml:space="preserve">, </w:t>
            </w:r>
            <w:r>
              <w:rPr>
                <w:rFonts w:hint="eastAsia" w:ascii="Arial" w:hAnsi="Arial" w:eastAsia="宋体" w:cs="Arial"/>
                <w:lang w:val="en-US" w:eastAsia="zh-CN"/>
              </w:rPr>
              <w:t>fei</w:t>
            </w:r>
          </w:p>
        </w:tc>
      </w:tr>
      <w:tr w14:paraId="2FEB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768D296">
            <w:pPr>
              <w:tabs>
                <w:tab w:val="left" w:pos="567"/>
              </w:tabs>
              <w:rPr>
                <w:rFonts w:ascii="Arial" w:hAnsi="Arial" w:cs="Arial"/>
                <w:b/>
              </w:rPr>
            </w:pPr>
          </w:p>
        </w:tc>
        <w:tc>
          <w:tcPr>
            <w:tcW w:w="1340" w:type="dxa"/>
          </w:tcPr>
          <w:p w14:paraId="1EE5BA5E">
            <w:pPr>
              <w:tabs>
                <w:tab w:val="left" w:pos="567"/>
              </w:tabs>
              <w:spacing w:after="0"/>
              <w:rPr>
                <w:rFonts w:ascii="Arial" w:hAnsi="Arial" w:cs="Arial"/>
                <w:b/>
              </w:rPr>
            </w:pPr>
            <w:r>
              <w:rPr>
                <w:rFonts w:ascii="Arial" w:hAnsi="Arial" w:cs="Arial"/>
                <w:b/>
              </w:rPr>
              <w:t>Company</w:t>
            </w:r>
          </w:p>
        </w:tc>
        <w:tc>
          <w:tcPr>
            <w:tcW w:w="7489" w:type="dxa"/>
          </w:tcPr>
          <w:p w14:paraId="64E7CDB9">
            <w:pPr>
              <w:tabs>
                <w:tab w:val="left" w:pos="567"/>
              </w:tabs>
              <w:spacing w:after="0"/>
              <w:rPr>
                <w:rFonts w:ascii="Arial" w:hAnsi="Arial" w:eastAsia="宋体" w:cs="Arial"/>
                <w:lang w:val="en-US" w:eastAsia="zh-CN"/>
              </w:rPr>
            </w:pPr>
            <w:r>
              <w:rPr>
                <w:rFonts w:hint="eastAsia" w:ascii="Arial" w:hAnsi="Arial" w:eastAsia="宋体" w:cs="Arial"/>
                <w:lang w:val="en-US" w:eastAsia="zh-CN"/>
              </w:rPr>
              <w:t>ZTE Corporation</w:t>
            </w:r>
          </w:p>
        </w:tc>
      </w:tr>
      <w:tr w14:paraId="3CFE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997EA70">
            <w:pPr>
              <w:tabs>
                <w:tab w:val="left" w:pos="567"/>
              </w:tabs>
              <w:rPr>
                <w:rFonts w:ascii="Arial" w:hAnsi="Arial" w:cs="Arial"/>
                <w:b/>
              </w:rPr>
            </w:pPr>
          </w:p>
        </w:tc>
        <w:tc>
          <w:tcPr>
            <w:tcW w:w="1340" w:type="dxa"/>
          </w:tcPr>
          <w:p w14:paraId="57473E70">
            <w:pPr>
              <w:tabs>
                <w:tab w:val="left" w:pos="567"/>
              </w:tabs>
              <w:spacing w:after="0"/>
              <w:rPr>
                <w:rFonts w:ascii="Arial" w:hAnsi="Arial" w:cs="Arial"/>
                <w:b/>
              </w:rPr>
            </w:pPr>
            <w:r>
              <w:rPr>
                <w:rFonts w:ascii="Arial" w:hAnsi="Arial" w:cs="Arial"/>
                <w:b/>
              </w:rPr>
              <w:t>Email</w:t>
            </w:r>
          </w:p>
        </w:tc>
        <w:tc>
          <w:tcPr>
            <w:tcW w:w="7489" w:type="dxa"/>
          </w:tcPr>
          <w:p w14:paraId="3360973A">
            <w:pPr>
              <w:tabs>
                <w:tab w:val="left" w:pos="567"/>
              </w:tabs>
              <w:spacing w:after="0"/>
              <w:rPr>
                <w:rFonts w:ascii="Arial" w:hAnsi="Arial" w:eastAsia="宋体" w:cs="Arial"/>
                <w:lang w:val="en-US" w:eastAsia="zh-CN"/>
              </w:rPr>
            </w:pPr>
            <w:r>
              <w:rPr>
                <w:rFonts w:hint="eastAsia" w:ascii="Arial" w:hAnsi="Arial" w:eastAsia="宋体" w:cs="Arial"/>
                <w:lang w:val="en-US" w:eastAsia="zh-CN"/>
              </w:rPr>
              <w:t>Xue.fei25@zte.com.cn</w:t>
            </w:r>
          </w:p>
        </w:tc>
      </w:tr>
    </w:tbl>
    <w:p w14:paraId="3373E909"/>
    <w:p w14:paraId="12C60BA9">
      <w:pPr>
        <w:pStyle w:val="2"/>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A0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55A5671">
            <w:pPr>
              <w:pStyle w:val="69"/>
              <w:jc w:val="center"/>
              <w:rPr>
                <w:b/>
                <w:bCs/>
              </w:rPr>
            </w:pPr>
            <w:r>
              <w:rPr>
                <w:b/>
                <w:bCs/>
              </w:rPr>
              <w:t>Do you want to modify the time budget for this WI/SI compared to what was endorsed at the last RAN meeting?</w:t>
            </w:r>
          </w:p>
        </w:tc>
        <w:tc>
          <w:tcPr>
            <w:tcW w:w="1037" w:type="dxa"/>
            <w:vAlign w:val="center"/>
          </w:tcPr>
          <w:p w14:paraId="41FADB46">
            <w:pPr>
              <w:pStyle w:val="69"/>
              <w:jc w:val="center"/>
              <w:rPr>
                <w:rFonts w:hint="default" w:eastAsiaTheme="minorEastAsia"/>
                <w:color w:val="FF0000"/>
                <w:lang w:val="en-US" w:eastAsia="zh-CN"/>
              </w:rPr>
            </w:pPr>
            <w:r>
              <w:rPr>
                <w:rFonts w:hint="eastAsia" w:eastAsiaTheme="minorEastAsia"/>
                <w:lang w:val="en-US" w:eastAsia="zh-CN"/>
              </w:rPr>
              <w:t>Yes</w:t>
            </w:r>
          </w:p>
        </w:tc>
      </w:tr>
    </w:tbl>
    <w:p w14:paraId="03FD707D">
      <w:pPr>
        <w:spacing w:after="0"/>
        <w:rPr>
          <w:rFonts w:ascii="Arial" w:hAnsi="Arial" w:cs="Arial"/>
        </w:rPr>
      </w:pPr>
    </w:p>
    <w:p w14:paraId="65719964">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1CBAE5CF">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0A4CBDFF">
      <w:pPr>
        <w:pStyle w:val="72"/>
        <w:rPr>
          <w:rFonts w:ascii="Arial" w:hAnsi="Arial" w:cs="Arial"/>
          <w:i/>
        </w:rPr>
      </w:pPr>
      <w:r>
        <w:rPr>
          <w:rFonts w:ascii="Arial" w:hAnsi="Arial" w:cs="Arial"/>
          <w:b/>
        </w:rPr>
        <w:t>Additional explanations/motivations for the time budget changes in the attached Excel table:</w:t>
      </w:r>
    </w:p>
    <w:p w14:paraId="4E6124F7">
      <w:pPr>
        <w:spacing w:after="0"/>
        <w:rPr>
          <w:rFonts w:ascii="Arial" w:hAnsi="Arial" w:cs="Arial"/>
        </w:rPr>
      </w:pPr>
    </w:p>
    <w:p w14:paraId="2A81F5D8">
      <w:pPr>
        <w:pStyle w:val="2"/>
      </w:pPr>
      <w:r>
        <w:t>2.</w:t>
      </w:r>
      <w:r>
        <w:tab/>
      </w:r>
      <w:r>
        <w:t>Detailed progress in RAN WGs since last TSG meeting (for all involved WGs)</w:t>
      </w:r>
    </w:p>
    <w:p w14:paraId="1BFA244A">
      <w:pPr>
        <w:pStyle w:val="3"/>
        <w:rPr>
          <w:lang w:eastAsia="ja-JP"/>
        </w:rPr>
      </w:pPr>
      <w:r>
        <w:rPr>
          <w:lang w:eastAsia="ja-JP"/>
        </w:rPr>
        <w:t>2.1</w:t>
      </w:r>
      <w:r>
        <w:rPr>
          <w:lang w:eastAsia="ja-JP"/>
        </w:rPr>
        <w:tab/>
      </w:r>
      <w:r>
        <w:rPr>
          <w:rFonts w:hint="eastAsia"/>
          <w:lang w:eastAsia="ja-JP"/>
        </w:rPr>
        <w:t>RAN1</w:t>
      </w:r>
    </w:p>
    <w:p w14:paraId="7F4CCA31">
      <w:pPr>
        <w:pStyle w:val="4"/>
        <w:rPr>
          <w:lang w:eastAsia="zh-CN"/>
        </w:rPr>
      </w:pPr>
      <w:r>
        <w:rPr>
          <w:lang w:eastAsia="ja-JP"/>
        </w:rPr>
        <w:t>2.1.1</w:t>
      </w:r>
      <w:r>
        <w:rPr>
          <w:lang w:eastAsia="ja-JP"/>
        </w:rPr>
        <w:tab/>
      </w:r>
      <w:r>
        <w:rPr>
          <w:lang w:eastAsia="ja-JP"/>
        </w:rPr>
        <w:t>Agreements</w:t>
      </w:r>
    </w:p>
    <w:p w14:paraId="6B3FB695">
      <w:pPr>
        <w:pStyle w:val="4"/>
        <w:rPr>
          <w:lang w:eastAsia="ja-JP"/>
        </w:rPr>
      </w:pPr>
      <w:r>
        <w:rPr>
          <w:lang w:eastAsia="ja-JP"/>
        </w:rPr>
        <w:t>2.1.2</w:t>
      </w:r>
      <w:r>
        <w:rPr>
          <w:lang w:eastAsia="ja-JP"/>
        </w:rPr>
        <w:tab/>
      </w:r>
      <w:r>
        <w:rPr>
          <w:lang w:eastAsia="ja-JP"/>
        </w:rPr>
        <w:t>Remaining Open issues</w:t>
      </w:r>
    </w:p>
    <w:p w14:paraId="475DF6FA">
      <w:pPr>
        <w:pStyle w:val="3"/>
        <w:rPr>
          <w:lang w:eastAsia="ja-JP"/>
        </w:rPr>
      </w:pPr>
      <w:r>
        <w:rPr>
          <w:lang w:eastAsia="ja-JP"/>
        </w:rPr>
        <w:t>2.2</w:t>
      </w:r>
      <w:r>
        <w:rPr>
          <w:lang w:eastAsia="ja-JP"/>
        </w:rPr>
        <w:tab/>
      </w:r>
      <w:r>
        <w:rPr>
          <w:rFonts w:hint="eastAsia"/>
          <w:lang w:eastAsia="ja-JP"/>
        </w:rPr>
        <w:t>RAN2</w:t>
      </w:r>
    </w:p>
    <w:p w14:paraId="1BB7ECB9">
      <w:pPr>
        <w:pStyle w:val="4"/>
        <w:rPr>
          <w:lang w:eastAsia="ja-JP"/>
        </w:rPr>
      </w:pPr>
      <w:r>
        <w:rPr>
          <w:lang w:eastAsia="ja-JP"/>
        </w:rPr>
        <w:t>2.2.1</w:t>
      </w:r>
      <w:r>
        <w:rPr>
          <w:lang w:eastAsia="ja-JP"/>
        </w:rPr>
        <w:tab/>
      </w:r>
      <w:r>
        <w:rPr>
          <w:lang w:eastAsia="ja-JP"/>
        </w:rPr>
        <w:t>Agreements</w:t>
      </w:r>
    </w:p>
    <w:p w14:paraId="44CA9C9A">
      <w:pPr>
        <w:pStyle w:val="4"/>
        <w:rPr>
          <w:lang w:eastAsia="zh-CN"/>
        </w:rPr>
      </w:pPr>
      <w:r>
        <w:rPr>
          <w:lang w:eastAsia="ja-JP"/>
        </w:rPr>
        <w:t>2.2.2</w:t>
      </w:r>
      <w:r>
        <w:rPr>
          <w:lang w:eastAsia="ja-JP"/>
        </w:rPr>
        <w:tab/>
      </w:r>
      <w:r>
        <w:rPr>
          <w:lang w:eastAsia="ja-JP"/>
        </w:rPr>
        <w:t xml:space="preserve">Remaining Open issues </w:t>
      </w:r>
    </w:p>
    <w:p w14:paraId="3934634E">
      <w:pPr>
        <w:pStyle w:val="3"/>
        <w:rPr>
          <w:lang w:eastAsia="ja-JP"/>
        </w:rPr>
      </w:pPr>
      <w:r>
        <w:rPr>
          <w:lang w:eastAsia="ja-JP"/>
        </w:rPr>
        <w:t>2.3</w:t>
      </w:r>
      <w:r>
        <w:rPr>
          <w:lang w:eastAsia="ja-JP"/>
        </w:rPr>
        <w:tab/>
      </w:r>
      <w:r>
        <w:rPr>
          <w:rFonts w:hint="eastAsia"/>
          <w:lang w:eastAsia="ja-JP"/>
        </w:rPr>
        <w:t>RAN3</w:t>
      </w:r>
    </w:p>
    <w:p w14:paraId="4E846DFC">
      <w:pPr>
        <w:pStyle w:val="4"/>
        <w:rPr>
          <w:lang w:eastAsia="ja-JP"/>
        </w:rPr>
      </w:pPr>
      <w:r>
        <w:rPr>
          <w:lang w:eastAsia="ja-JP"/>
        </w:rPr>
        <w:t>2.3.1</w:t>
      </w:r>
      <w:r>
        <w:rPr>
          <w:lang w:eastAsia="ja-JP"/>
        </w:rPr>
        <w:tab/>
      </w:r>
      <w:r>
        <w:rPr>
          <w:lang w:eastAsia="ja-JP"/>
        </w:rPr>
        <w:t>Agreements</w:t>
      </w:r>
    </w:p>
    <w:p w14:paraId="59B70980">
      <w:pPr>
        <w:pStyle w:val="4"/>
        <w:rPr>
          <w:lang w:eastAsia="ja-JP"/>
        </w:rPr>
      </w:pPr>
      <w:r>
        <w:rPr>
          <w:lang w:eastAsia="ja-JP"/>
        </w:rPr>
        <w:t>2.3.2</w:t>
      </w:r>
      <w:r>
        <w:rPr>
          <w:lang w:eastAsia="ja-JP"/>
        </w:rPr>
        <w:tab/>
      </w:r>
      <w:r>
        <w:rPr>
          <w:lang w:eastAsia="ja-JP"/>
        </w:rPr>
        <w:t>Remaining Open issues</w:t>
      </w:r>
    </w:p>
    <w:p w14:paraId="1A24620D">
      <w:pPr>
        <w:pStyle w:val="3"/>
        <w:rPr>
          <w:lang w:eastAsia="ja-JP"/>
        </w:rPr>
      </w:pPr>
      <w:r>
        <w:rPr>
          <w:lang w:eastAsia="ja-JP"/>
        </w:rPr>
        <w:t>2.4</w:t>
      </w:r>
      <w:r>
        <w:rPr>
          <w:lang w:eastAsia="ja-JP"/>
        </w:rPr>
        <w:tab/>
      </w:r>
      <w:r>
        <w:rPr>
          <w:rFonts w:hint="eastAsia"/>
          <w:lang w:eastAsia="ja-JP"/>
        </w:rPr>
        <w:t>RAN4</w:t>
      </w:r>
    </w:p>
    <w:p w14:paraId="2ADFEFE7">
      <w:pPr>
        <w:pStyle w:val="4"/>
        <w:rPr>
          <w:lang w:eastAsia="ja-JP"/>
        </w:rPr>
      </w:pPr>
      <w:r>
        <w:rPr>
          <w:lang w:eastAsia="ja-JP"/>
        </w:rPr>
        <w:t>2.4.1</w:t>
      </w:r>
      <w:r>
        <w:rPr>
          <w:lang w:eastAsia="ja-JP"/>
        </w:rPr>
        <w:tab/>
      </w:r>
      <w:r>
        <w:rPr>
          <w:lang w:eastAsia="ja-JP"/>
        </w:rPr>
        <w:t>Agreements</w:t>
      </w:r>
    </w:p>
    <w:p w14:paraId="532E3BA3">
      <w:pPr>
        <w:pStyle w:val="5"/>
        <w:rPr>
          <w:rFonts w:hint="eastAsia"/>
          <w:lang w:val="en-US" w:eastAsia="zh-CN"/>
        </w:rPr>
      </w:pPr>
      <w:r>
        <w:rPr>
          <w:rFonts w:hint="eastAsia"/>
          <w:lang w:val="en-US" w:eastAsia="zh-CN"/>
        </w:rPr>
        <w:t xml:space="preserve">RAN4 #116: </w:t>
      </w:r>
    </w:p>
    <w:p w14:paraId="62A386DF">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Core part for </w:t>
      </w:r>
      <w:r>
        <w:rPr>
          <w:rFonts w:hint="default" w:ascii="Times New Roman" w:hAnsi="Times New Roman" w:cs="Times New Roman"/>
          <w:b/>
          <w:bCs/>
          <w:lang w:val="en-US" w:eastAsia="zh-CN"/>
        </w:rPr>
        <w:t xml:space="preserve">CLTA: </w:t>
      </w:r>
    </w:p>
    <w:p w14:paraId="4D9DA2B4">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BS-to-BS isolation analysis</w:t>
      </w:r>
    </w:p>
    <w:p w14:paraId="43709500">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BS-to-BS isolation data collected in the WF in R4-2508657 (RAN4#115) is the baseline for the Draft CR.</w:t>
      </w:r>
    </w:p>
    <w:p w14:paraId="08297010">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Impacted RF requirements</w:t>
      </w:r>
    </w:p>
    <w:p w14:paraId="48BFF1A7">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OTA co-location requirements are not modified in Rel-19 based on the discussion on BS-BS isolation data analysis.  </w:t>
      </w:r>
    </w:p>
    <w:p w14:paraId="50467F99">
      <w:pPr>
        <w:pStyle w:val="134"/>
        <w:ind w:left="720" w:firstLine="0" w:firstLineChars="0"/>
        <w:rPr>
          <w:rFonts w:hint="default" w:ascii="Times New Roman" w:hAnsi="Times New Roman" w:cs="Times New Roman"/>
        </w:rPr>
      </w:pPr>
      <w:r>
        <w:rPr>
          <w:rFonts w:hint="default" w:ascii="Times New Roman" w:hAnsi="Times New Roman" w:cs="Times New Roman"/>
          <w:lang w:eastAsia="zh-CN"/>
        </w:rPr>
        <w:t>RAN4 aims to re-evaluate OTA co-location requirements in Rel-20, with Rel-19 BS-BS isolation data as baseline</w:t>
      </w:r>
      <w:r>
        <w:rPr>
          <w:rFonts w:hint="default" w:ascii="Times New Roman" w:hAnsi="Times New Roman" w:cs="Times New Roman"/>
        </w:rPr>
        <w:t>.</w:t>
      </w:r>
    </w:p>
    <w:p w14:paraId="39E3DD70">
      <w:pPr>
        <w:pStyle w:val="134"/>
        <w:numPr>
          <w:ilvl w:val="0"/>
          <w:numId w:val="14"/>
        </w:numPr>
        <w:ind w:firstLineChars="0"/>
        <w:rPr>
          <w:rFonts w:hint="default" w:ascii="Times New Roman" w:hAnsi="Times New Roman" w:cs="Times New Roman"/>
          <w:lang w:eastAsia="zh-CN"/>
        </w:rPr>
      </w:pPr>
      <w:r>
        <w:rPr>
          <w:rFonts w:hint="default" w:ascii="Times New Roman" w:hAnsi="Times New Roman" w:cs="Times New Roman"/>
          <w:lang w:eastAsia="zh-CN"/>
        </w:rPr>
        <w:t>CLTA WI objectives</w:t>
      </w:r>
    </w:p>
    <w:p w14:paraId="224377B9">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With Draft CRs aimed to be Endorsed this meeting, the Rel-19 CLTA objectives are expected to be declared as 100% completed. Follow-up normative work can be considered in Rel-20.</w:t>
      </w:r>
    </w:p>
    <w:p w14:paraId="66D32B02">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WI Rapporteur to consider WID update to address proper handling of CR to TR 37.941.</w:t>
      </w:r>
    </w:p>
    <w:p w14:paraId="10991470">
      <w:pPr>
        <w:pageBreakBefore w:val="0"/>
        <w:kinsoku/>
        <w:wordWrap/>
        <w:topLinePunct w:val="0"/>
        <w:bidi w:val="0"/>
        <w:snapToGrid/>
        <w:outlineLvl w:val="9"/>
        <w:rPr>
          <w:rFonts w:hint="default" w:ascii="Times New Roman" w:hAnsi="Times New Roman" w:cs="Times New Roman"/>
          <w:lang w:val="en-US" w:eastAsia="zh-CN"/>
        </w:rPr>
      </w:pPr>
    </w:p>
    <w:p w14:paraId="78E251E8">
      <w:pPr>
        <w:pageBreakBefore w:val="0"/>
        <w:kinsoku/>
        <w:wordWrap/>
        <w:topLinePunct w:val="0"/>
        <w:bidi w:val="0"/>
        <w:snapToGrid/>
        <w:outlineLvl w:val="9"/>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Core part for </w:t>
      </w:r>
      <w:r>
        <w:rPr>
          <w:rFonts w:hint="default" w:ascii="Times New Roman" w:hAnsi="Times New Roman" w:cs="Times New Roman"/>
          <w:b/>
          <w:bCs/>
          <w:lang w:val="en-US" w:eastAsia="zh-CN"/>
        </w:rPr>
        <w:t xml:space="preserve">Tx spurious emissions co-existence limits re-evaluation: </w:t>
      </w:r>
    </w:p>
    <w:p w14:paraId="3CB12F77">
      <w:pPr>
        <w:rPr>
          <w:lang w:eastAsia="zh-CN"/>
        </w:rPr>
      </w:pPr>
      <w:r>
        <w:rPr>
          <w:lang w:eastAsia="zh-CN"/>
        </w:rPr>
        <w:t>The following is agreed towards simulation assumptions and their alignment.</w:t>
      </w:r>
    </w:p>
    <w:p w14:paraId="4ACCC536">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CDF %-tile</w:t>
      </w:r>
    </w:p>
    <w:p w14:paraId="01B29D04">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For calibration: Use CDF curve of coupling loss to align results. Aim to follow the stepwise approach for results alignment, using the following Excel spreadsheet as starting point. </w:t>
      </w:r>
    </w:p>
    <w:p w14:paraId="38D2F585">
      <w:pPr>
        <w:pStyle w:val="134"/>
        <w:ind w:left="720" w:firstLine="0" w:firstLineChars="0"/>
        <w:rPr>
          <w:rFonts w:hint="default" w:ascii="Times New Roman" w:hAnsi="Times New Roman" w:cs="Times New Roman"/>
          <w:b/>
          <w:bCs/>
          <w:lang w:eastAsia="zh-CN"/>
        </w:rPr>
      </w:pPr>
      <w:r>
        <w:rPr>
          <w:rFonts w:hint="default" w:ascii="Times New Roman" w:hAnsi="Times New Roman" w:cs="Times New Roman"/>
          <w:lang w:eastAsia="zh-CN"/>
        </w:rPr>
        <w:t>For results derivation:</w:t>
      </w:r>
      <w:r>
        <w:rPr>
          <w:rFonts w:hint="default" w:ascii="Times New Roman" w:hAnsi="Times New Roman" w:cs="Times New Roman"/>
          <w:b/>
          <w:bCs/>
          <w:lang w:eastAsia="zh-CN"/>
        </w:rPr>
        <w:t xml:space="preserve"> </w:t>
      </w:r>
      <w:r>
        <w:rPr>
          <w:rFonts w:hint="default" w:ascii="Times New Roman" w:hAnsi="Times New Roman" w:cs="Times New Roman"/>
          <w:lang w:eastAsia="zh-CN"/>
        </w:rPr>
        <w:t>Select just one value: TBD</w:t>
      </w:r>
    </w:p>
    <w:p w14:paraId="58162EE4">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ISD</w:t>
      </w:r>
    </w:p>
    <w:p w14:paraId="19D85135">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For calibration: select just one value (select 450m, or 500m): 500m</w:t>
      </w:r>
    </w:p>
    <w:p w14:paraId="652D7595">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For results derivation: [Same value as for calibration.]</w:t>
      </w:r>
    </w:p>
    <w:p w14:paraId="2CB67C77">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Grid shift</w:t>
      </w:r>
    </w:p>
    <w:p w14:paraId="3F38943B">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For calibration: select just one value (50%, or 100%): 100%</w:t>
      </w:r>
    </w:p>
    <w:p w14:paraId="789B5FD7">
      <w:pPr>
        <w:pStyle w:val="134"/>
        <w:ind w:left="720" w:firstLine="0" w:firstLineChars="0"/>
        <w:rPr>
          <w:rFonts w:hint="default" w:ascii="Times New Roman" w:hAnsi="Times New Roman" w:cs="Times New Roman"/>
          <w:b/>
          <w:bCs/>
          <w:lang w:eastAsia="zh-CN"/>
        </w:rPr>
      </w:pPr>
      <w:r>
        <w:rPr>
          <w:rFonts w:hint="default" w:ascii="Times New Roman" w:hAnsi="Times New Roman" w:cs="Times New Roman"/>
          <w:lang w:eastAsia="zh-CN"/>
        </w:rPr>
        <w:t>For results derivation:</w:t>
      </w:r>
      <w:r>
        <w:rPr>
          <w:rFonts w:hint="default" w:ascii="Times New Roman" w:hAnsi="Times New Roman" w:cs="Times New Roman"/>
          <w:b/>
          <w:bCs/>
          <w:lang w:eastAsia="zh-CN"/>
        </w:rPr>
        <w:t xml:space="preserve"> </w:t>
      </w:r>
      <w:r>
        <w:rPr>
          <w:rFonts w:hint="default" w:ascii="Times New Roman" w:hAnsi="Times New Roman" w:cs="Times New Roman"/>
          <w:lang w:eastAsia="zh-CN"/>
        </w:rPr>
        <w:t>TBD</w:t>
      </w:r>
    </w:p>
    <w:p w14:paraId="25537626">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 xml:space="preserve">Antenna correlation value for the OoB antenna gain </w:t>
      </w:r>
    </w:p>
    <w:p w14:paraId="6FD19E85">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For calibration: first 0, then 1.</w:t>
      </w:r>
    </w:p>
    <w:p w14:paraId="13136228">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For results derivation: (0, 0.5, or 1): TBD</w:t>
      </w:r>
    </w:p>
    <w:p w14:paraId="57BB447C">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 xml:space="preserve">Evaluation scenarios </w:t>
      </w:r>
    </w:p>
    <w:p w14:paraId="3EF1E33D">
      <w:pPr>
        <w:pStyle w:val="134"/>
        <w:ind w:left="72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Grid: 19sites, 3 sectors, wrap around</w:t>
      </w:r>
    </w:p>
    <w:p w14:paraId="675553B3">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For calibration: </w:t>
      </w:r>
    </w:p>
    <w:p w14:paraId="5D9E015C">
      <w:pPr>
        <w:pStyle w:val="134"/>
        <w:numPr>
          <w:ilvl w:val="0"/>
          <w:numId w:val="16"/>
        </w:numPr>
        <w:ind w:firstLineChars="0"/>
        <w:rPr>
          <w:rFonts w:hint="default" w:ascii="Times New Roman" w:hAnsi="Times New Roman" w:cs="Times New Roman"/>
          <w:lang w:eastAsia="zh-CN"/>
        </w:rPr>
      </w:pPr>
      <w:r>
        <w:rPr>
          <w:rFonts w:hint="default" w:ascii="Times New Roman" w:hAnsi="Times New Roman" w:cs="Times New Roman"/>
          <w:lang w:eastAsia="zh-CN"/>
        </w:rPr>
        <w:t>First step: WA for BS-BS (Urban macro in TR 38.922)</w:t>
      </w:r>
    </w:p>
    <w:p w14:paraId="78A12C94">
      <w:pPr>
        <w:pStyle w:val="134"/>
        <w:numPr>
          <w:ilvl w:val="0"/>
          <w:numId w:val="16"/>
        </w:numPr>
        <w:ind w:firstLineChars="0"/>
        <w:rPr>
          <w:rFonts w:hint="default" w:ascii="Times New Roman" w:hAnsi="Times New Roman" w:cs="Times New Roman"/>
          <w:lang w:eastAsia="zh-CN"/>
        </w:rPr>
      </w:pPr>
      <w:r>
        <w:rPr>
          <w:rFonts w:hint="default" w:ascii="Times New Roman" w:hAnsi="Times New Roman" w:cs="Times New Roman"/>
          <w:lang w:eastAsia="zh-CN"/>
        </w:rPr>
        <w:t>Second step: MR for BS-UE (Dense urban in TR 38.922)</w:t>
      </w:r>
    </w:p>
    <w:p w14:paraId="11A70330">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For results derivation: [Same value as for calibration.]</w:t>
      </w:r>
    </w:p>
    <w:p w14:paraId="463F1FBD">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Pathloss model</w:t>
      </w:r>
    </w:p>
    <w:p w14:paraId="73CE11B1">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 xml:space="preserve">For calibration (decide which model to use): FFS as further inputs expected; aim to discuss offline after the meeting to align before RAN4#116bis.  </w:t>
      </w:r>
    </w:p>
    <w:p w14:paraId="4389AB1C">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For results derivation: [Same value as for calibration.]</w:t>
      </w:r>
    </w:p>
    <w:p w14:paraId="66CB9370">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Other assumptions</w:t>
      </w:r>
    </w:p>
    <w:p w14:paraId="37ADA1F5">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For calibration: Based on TR 38.922, with interfering system at 2GHz and victim system at 6.425GHz.</w:t>
      </w:r>
    </w:p>
    <w:p w14:paraId="7EB17591">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Timeline of this objective</w:t>
      </w:r>
    </w:p>
    <w:p w14:paraId="457FFE1F">
      <w:pPr>
        <w:pStyle w:val="134"/>
        <w:ind w:left="720" w:firstLine="0" w:firstLineChars="0"/>
        <w:rPr>
          <w:rFonts w:hint="default" w:ascii="Times New Roman" w:hAnsi="Times New Roman" w:cs="Times New Roman"/>
          <w:lang w:eastAsia="zh-CN"/>
        </w:rPr>
      </w:pPr>
      <w:r>
        <w:rPr>
          <w:rFonts w:hint="default" w:ascii="Times New Roman" w:hAnsi="Times New Roman" w:cs="Times New Roman"/>
          <w:lang w:eastAsia="zh-CN"/>
        </w:rPr>
        <w:t>Proceed with the assumption that the Core objective for Tx spur co-ex is extended by 1 quarter till December 2025.</w:t>
      </w:r>
    </w:p>
    <w:p w14:paraId="34C8A119">
      <w:pPr>
        <w:pStyle w:val="134"/>
        <w:numPr>
          <w:ilvl w:val="0"/>
          <w:numId w:val="17"/>
        </w:numPr>
        <w:ind w:firstLineChars="0"/>
        <w:rPr>
          <w:rFonts w:hint="default" w:ascii="Times New Roman" w:hAnsi="Times New Roman" w:cs="Times New Roman"/>
          <w:lang w:eastAsia="zh-CN"/>
        </w:rPr>
      </w:pPr>
      <w:r>
        <w:rPr>
          <w:rFonts w:hint="default" w:ascii="Times New Roman" w:hAnsi="Times New Roman" w:cs="Times New Roman"/>
          <w:lang w:eastAsia="zh-CN"/>
        </w:rPr>
        <w:t xml:space="preserve">Simulation calibration in October meeting. </w:t>
      </w:r>
    </w:p>
    <w:p w14:paraId="2BF40888">
      <w:pPr>
        <w:pStyle w:val="134"/>
        <w:numPr>
          <w:ilvl w:val="0"/>
          <w:numId w:val="17"/>
        </w:numPr>
        <w:ind w:firstLineChars="0"/>
        <w:rPr>
          <w:rFonts w:hint="default" w:ascii="Times New Roman" w:hAnsi="Times New Roman" w:cs="Times New Roman"/>
          <w:lang w:eastAsia="zh-CN"/>
        </w:rPr>
      </w:pPr>
      <w:r>
        <w:rPr>
          <w:rFonts w:hint="default" w:ascii="Times New Roman" w:hAnsi="Times New Roman" w:cs="Times New Roman"/>
          <w:lang w:eastAsia="zh-CN"/>
        </w:rPr>
        <w:t xml:space="preserve">Aim for conclusions and final CRs (if any) for November meeting.  </w:t>
      </w:r>
    </w:p>
    <w:p w14:paraId="78F828B1">
      <w:pPr>
        <w:pStyle w:val="134"/>
        <w:numPr>
          <w:ilvl w:val="0"/>
          <w:numId w:val="15"/>
        </w:numPr>
        <w:ind w:firstLineChars="0"/>
        <w:rPr>
          <w:rFonts w:hint="default" w:ascii="Times New Roman" w:hAnsi="Times New Roman" w:cs="Times New Roman"/>
          <w:lang w:eastAsia="zh-CN"/>
        </w:rPr>
      </w:pPr>
      <w:r>
        <w:rPr>
          <w:rFonts w:hint="default" w:ascii="Times New Roman" w:hAnsi="Times New Roman" w:cs="Times New Roman"/>
          <w:lang w:eastAsia="zh-CN"/>
        </w:rPr>
        <w:t>How and where to capture outcomes of this discussion</w:t>
      </w:r>
    </w:p>
    <w:p w14:paraId="5BBCC37A">
      <w:pPr>
        <w:pStyle w:val="134"/>
        <w:ind w:left="720" w:firstLine="0" w:firstLineChars="0"/>
        <w:rPr>
          <w:rFonts w:hint="default" w:ascii="Times New Roman" w:hAnsi="Times New Roman" w:cs="Times New Roman"/>
          <w:lang w:val="en-US" w:eastAsia="zh-CN"/>
        </w:rPr>
      </w:pPr>
      <w:r>
        <w:rPr>
          <w:rFonts w:hint="default" w:ascii="Times New Roman" w:hAnsi="Times New Roman" w:cs="Times New Roman"/>
          <w:lang w:eastAsia="zh-CN"/>
        </w:rPr>
        <w:t xml:space="preserve">Companies agree to capture conclusions in a TR. </w:t>
      </w:r>
      <w:r>
        <w:rPr>
          <w:rFonts w:hint="default" w:ascii="Times New Roman" w:hAnsi="Times New Roman" w:cs="Times New Roman"/>
          <w:lang w:val="en-US" w:eastAsia="zh-CN"/>
        </w:rPr>
        <w:t>Which TR to use as baseline is TBD</w:t>
      </w:r>
    </w:p>
    <w:p w14:paraId="378DD6C4">
      <w:pPr>
        <w:rPr>
          <w:rFonts w:hint="eastAsia"/>
          <w:lang w:val="en-US" w:eastAsia="zh-CN"/>
        </w:rPr>
      </w:pPr>
    </w:p>
    <w:p w14:paraId="314ED97D">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Perf part for </w:t>
      </w:r>
      <w:r>
        <w:rPr>
          <w:rFonts w:hint="eastAsia" w:cs="Times New Roman"/>
          <w:b/>
          <w:bCs/>
          <w:lang w:val="en-US" w:eastAsia="zh-CN"/>
        </w:rPr>
        <w:t>Test scope simplification and TRP simplification</w:t>
      </w:r>
      <w:r>
        <w:rPr>
          <w:rFonts w:hint="eastAsia" w:ascii="Times New Roman" w:hAnsi="Times New Roman" w:cs="Times New Roman"/>
          <w:b/>
          <w:bCs/>
          <w:lang w:val="en-US" w:eastAsia="zh-CN"/>
        </w:rPr>
        <w:t>:</w:t>
      </w:r>
    </w:p>
    <w:p w14:paraId="128414A4">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1-1-1: test scope reduction for Tx requirement</w:t>
      </w:r>
    </w:p>
    <w:p w14:paraId="24732D40">
      <w:pPr>
        <w:pStyle w:val="134"/>
        <w:numPr>
          <w:ilvl w:val="0"/>
          <w:numId w:val="18"/>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 xml:space="preserve">Agreement: </w:t>
      </w:r>
    </w:p>
    <w:p w14:paraId="719BB8EE">
      <w:pPr>
        <w:pStyle w:val="134"/>
        <w:numPr>
          <w:ilvl w:val="3"/>
          <w:numId w:val="18"/>
        </w:numPr>
        <w:overflowPunct/>
        <w:autoSpaceDE/>
        <w:autoSpaceDN/>
        <w:adjustRightInd/>
        <w:spacing w:after="120"/>
        <w:ind w:left="1580" w:leftChars="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 xml:space="preserve"> use 3xCBW offset to check OBUE limits when the smallest CBW of the band is less than or equal to 5 MHz, otherwise 1xCBW offset. </w:t>
      </w:r>
    </w:p>
    <w:p w14:paraId="0C7281E7">
      <w:pPr>
        <w:pStyle w:val="134"/>
        <w:overflowPunct/>
        <w:autoSpaceDE/>
        <w:autoSpaceDN/>
        <w:adjustRightInd/>
        <w:spacing w:after="120"/>
        <w:ind w:firstLine="0" w:firstLineChars="0"/>
        <w:textAlignment w:val="auto"/>
        <w:rPr>
          <w:rFonts w:hint="default" w:ascii="Times New Roman" w:hAnsi="Times New Roman" w:cs="Times New Roman"/>
          <w:iCs/>
          <w:color w:val="auto"/>
          <w:lang w:val="en-US" w:eastAsia="zh-CN"/>
        </w:rPr>
      </w:pPr>
    </w:p>
    <w:p w14:paraId="65A16850">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1-2-1: Out of band blocking</w:t>
      </w:r>
    </w:p>
    <w:p w14:paraId="75CE478F">
      <w:pPr>
        <w:pStyle w:val="134"/>
        <w:numPr>
          <w:ilvl w:val="0"/>
          <w:numId w:val="18"/>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val="en-US" w:eastAsia="zh-CN"/>
        </w:rPr>
      </w:pPr>
      <w:r>
        <w:rPr>
          <w:rFonts w:hint="eastAsia" w:ascii="Times New Roman" w:hAnsi="Times New Roman" w:eastAsia="宋体" w:cs="Times New Roman"/>
          <w:color w:val="auto"/>
          <w:szCs w:val="24"/>
          <w:lang w:val="en-US" w:eastAsia="zh-CN"/>
        </w:rPr>
        <w:t xml:space="preserve">Agreement on step size of OOBB requirement, keep the following options for further discussion: </w:t>
      </w:r>
    </w:p>
    <w:p w14:paraId="059C2EBE">
      <w:pPr>
        <w:pStyle w:val="134"/>
        <w:numPr>
          <w:ilvl w:val="0"/>
          <w:numId w:val="18"/>
        </w:numPr>
        <w:overflowPunct/>
        <w:autoSpaceDE/>
        <w:autoSpaceDN/>
        <w:adjustRightInd/>
        <w:spacing w:after="120"/>
        <w:ind w:left="720" w:firstLineChars="0"/>
        <w:textAlignment w:val="auto"/>
        <w:rPr>
          <w:rFonts w:hint="default" w:ascii="Times New Roman" w:hAnsi="Times New Roman" w:eastAsia="宋体" w:cs="Times New Roman"/>
          <w:color w:val="auto"/>
          <w:szCs w:val="24"/>
          <w:lang w:val="en-US" w:eastAsia="zh-CN"/>
        </w:rPr>
      </w:pPr>
      <w:r>
        <w:rPr>
          <w:rFonts w:hint="eastAsia" w:ascii="Times New Roman" w:hAnsi="Times New Roman" w:eastAsia="宋体" w:cs="Times New Roman"/>
          <w:color w:val="auto"/>
          <w:szCs w:val="24"/>
          <w:lang w:val="en-US" w:eastAsia="zh-CN"/>
        </w:rPr>
        <w:t>Option 1: 1/3 of the minimum supported bandwidth</w:t>
      </w:r>
    </w:p>
    <w:p w14:paraId="53B9D0D1">
      <w:pPr>
        <w:pStyle w:val="134"/>
        <w:numPr>
          <w:ilvl w:val="1"/>
          <w:numId w:val="18"/>
        </w:numPr>
        <w:overflowPunct/>
        <w:autoSpaceDE/>
        <w:autoSpaceDN/>
        <w:adjustRightInd/>
        <w:spacing w:after="120"/>
        <w:ind w:left="1580" w:leftChars="0" w:firstLineChars="0"/>
        <w:textAlignment w:val="auto"/>
        <w:rPr>
          <w:rFonts w:hint="eastAsia" w:ascii="Times New Roman" w:hAnsi="Times New Roman" w:eastAsia="宋体" w:cs="Times New Roman"/>
          <w:color w:val="auto"/>
          <w:szCs w:val="24"/>
          <w:lang w:val="en-US" w:eastAsia="zh-CN"/>
        </w:rPr>
      </w:pPr>
      <w:r>
        <w:rPr>
          <w:rFonts w:hint="eastAsia" w:ascii="Times New Roman" w:hAnsi="Times New Roman" w:eastAsia="宋体" w:cs="Times New Roman"/>
          <w:color w:val="auto"/>
          <w:szCs w:val="24"/>
          <w:lang w:val="en-US" w:eastAsia="zh-CN"/>
        </w:rPr>
        <w:t xml:space="preserve">Option 1a: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4456"/>
        <w:gridCol w:w="1377"/>
      </w:tblGrid>
      <w:tr w14:paraId="22A1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14:paraId="1A8CB8B2">
            <w:pPr>
              <w:keepNext/>
              <w:keepLines/>
              <w:spacing w:after="0"/>
              <w:jc w:val="center"/>
              <w:rPr>
                <w:rFonts w:ascii="Arial" w:hAnsi="Arial" w:eastAsia="等线" w:cs="Arial"/>
                <w:b/>
                <w:kern w:val="2"/>
                <w:sz w:val="18"/>
                <w:szCs w:val="22"/>
                <w:lang w:val="it-IT"/>
              </w:rPr>
            </w:pPr>
            <w:r>
              <w:rPr>
                <w:rFonts w:hint="eastAsia" w:ascii="Arial" w:hAnsi="Arial" w:eastAsia="等线" w:cs="Arial"/>
                <w:b/>
                <w:kern w:val="2"/>
                <w:sz w:val="18"/>
                <w:szCs w:val="22"/>
                <w:lang w:val="it-IT"/>
              </w:rPr>
              <w:t>Frequency range</w:t>
            </w:r>
          </w:p>
          <w:p w14:paraId="2396452E">
            <w:pPr>
              <w:keepNext/>
              <w:keepLines/>
              <w:spacing w:after="0"/>
              <w:jc w:val="center"/>
              <w:rPr>
                <w:rFonts w:ascii="Arial" w:hAnsi="Arial" w:eastAsia="等线" w:cs="Arial"/>
                <w:b/>
                <w:kern w:val="2"/>
                <w:sz w:val="18"/>
                <w:szCs w:val="22"/>
                <w:lang w:val="it-IT"/>
              </w:rPr>
            </w:pPr>
            <w:r>
              <w:rPr>
                <w:rFonts w:hint="eastAsia" w:ascii="Arial" w:hAnsi="Arial" w:eastAsia="等线" w:cs="Arial"/>
                <w:b/>
                <w:kern w:val="2"/>
                <w:sz w:val="18"/>
                <w:szCs w:val="22"/>
                <w:lang w:val="it-IT"/>
              </w:rPr>
              <w:t>(MHz)</w:t>
            </w:r>
          </w:p>
        </w:tc>
        <w:tc>
          <w:tcPr>
            <w:tcW w:w="4456" w:type="dxa"/>
            <w:tcBorders>
              <w:top w:val="single" w:color="auto" w:sz="4" w:space="0"/>
              <w:left w:val="single" w:color="auto" w:sz="4" w:space="0"/>
              <w:bottom w:val="single" w:color="auto" w:sz="4" w:space="0"/>
              <w:right w:val="single" w:color="auto" w:sz="4" w:space="0"/>
            </w:tcBorders>
          </w:tcPr>
          <w:p w14:paraId="56E8B83F">
            <w:pPr>
              <w:keepNext/>
              <w:keepLines/>
              <w:spacing w:after="0"/>
              <w:jc w:val="center"/>
              <w:rPr>
                <w:rFonts w:ascii="Arial" w:hAnsi="Arial" w:eastAsia="等线" w:cs="Arial"/>
                <w:b/>
                <w:kern w:val="2"/>
                <w:sz w:val="18"/>
                <w:szCs w:val="22"/>
                <w:lang w:val="it-IT"/>
              </w:rPr>
            </w:pPr>
            <w:r>
              <w:rPr>
                <w:rFonts w:hint="eastAsia" w:ascii="Arial" w:hAnsi="Arial" w:eastAsia="等线" w:cs="Arial"/>
                <w:b/>
                <w:kern w:val="2"/>
                <w:sz w:val="18"/>
                <w:szCs w:val="22"/>
                <w:lang w:val="it-IT"/>
              </w:rPr>
              <w:t>Minimum supported</w:t>
            </w:r>
            <w:r>
              <w:rPr>
                <w:rFonts w:hint="eastAsia" w:ascii="Arial" w:hAnsi="Arial" w:eastAsia="等线" w:cs="Arial"/>
                <w:b/>
                <w:i/>
                <w:kern w:val="2"/>
                <w:sz w:val="18"/>
                <w:szCs w:val="22"/>
                <w:lang w:val="it-IT"/>
              </w:rPr>
              <w:t xml:space="preserve"> BS channel bandwidth</w:t>
            </w:r>
            <w:r>
              <w:rPr>
                <w:rFonts w:hint="eastAsia" w:ascii="Arial" w:hAnsi="Arial" w:eastAsia="等线" w:cs="Arial"/>
                <w:b/>
                <w:kern w:val="2"/>
                <w:sz w:val="18"/>
                <w:szCs w:val="22"/>
                <w:lang w:val="it-IT"/>
              </w:rPr>
              <w:t xml:space="preserve"> (MHz)</w:t>
            </w:r>
          </w:p>
        </w:tc>
        <w:tc>
          <w:tcPr>
            <w:tcW w:w="1377" w:type="dxa"/>
            <w:tcBorders>
              <w:top w:val="single" w:color="auto" w:sz="4" w:space="0"/>
              <w:left w:val="single" w:color="auto" w:sz="4" w:space="0"/>
              <w:bottom w:val="single" w:color="auto" w:sz="4" w:space="0"/>
              <w:right w:val="single" w:color="auto" w:sz="4" w:space="0"/>
            </w:tcBorders>
          </w:tcPr>
          <w:p w14:paraId="38F12E1E">
            <w:pPr>
              <w:keepNext/>
              <w:keepLines/>
              <w:spacing w:after="0"/>
              <w:jc w:val="center"/>
              <w:rPr>
                <w:rFonts w:ascii="Arial" w:hAnsi="Arial" w:eastAsia="等线" w:cs="Arial"/>
                <w:b/>
                <w:kern w:val="2"/>
                <w:sz w:val="18"/>
                <w:szCs w:val="22"/>
              </w:rPr>
            </w:pPr>
            <w:r>
              <w:rPr>
                <w:rFonts w:hint="eastAsia" w:ascii="Arial" w:hAnsi="Arial" w:eastAsia="等线" w:cs="Arial"/>
                <w:b/>
                <w:kern w:val="2"/>
                <w:sz w:val="18"/>
                <w:szCs w:val="22"/>
                <w:lang w:val="en-US"/>
              </w:rPr>
              <w:t>Measurement</w:t>
            </w:r>
          </w:p>
          <w:p w14:paraId="1782F796">
            <w:pPr>
              <w:keepNext/>
              <w:keepLines/>
              <w:spacing w:after="0"/>
              <w:jc w:val="center"/>
              <w:rPr>
                <w:rFonts w:ascii="Arial" w:hAnsi="Arial" w:eastAsia="等线" w:cs="Arial"/>
                <w:b/>
                <w:kern w:val="2"/>
                <w:sz w:val="18"/>
                <w:szCs w:val="22"/>
                <w:lang w:val="en-US"/>
              </w:rPr>
            </w:pPr>
            <w:r>
              <w:rPr>
                <w:rFonts w:hint="eastAsia" w:ascii="Arial" w:hAnsi="Arial" w:eastAsia="等线" w:cs="Arial"/>
                <w:b/>
                <w:kern w:val="2"/>
                <w:sz w:val="18"/>
                <w:szCs w:val="22"/>
                <w:lang w:val="en-US"/>
              </w:rPr>
              <w:t>step size</w:t>
            </w:r>
          </w:p>
          <w:p w14:paraId="1661024C">
            <w:pPr>
              <w:keepNext/>
              <w:keepLines/>
              <w:spacing w:after="0"/>
              <w:jc w:val="center"/>
              <w:rPr>
                <w:rFonts w:ascii="Arial" w:hAnsi="Arial" w:eastAsia="等线" w:cs="Arial"/>
                <w:b/>
                <w:kern w:val="2"/>
                <w:sz w:val="18"/>
                <w:szCs w:val="22"/>
                <w:lang w:val="en-US"/>
              </w:rPr>
            </w:pPr>
            <w:r>
              <w:rPr>
                <w:rFonts w:hint="eastAsia" w:ascii="Arial" w:hAnsi="Arial" w:eastAsia="等线" w:cs="Arial"/>
                <w:b/>
                <w:kern w:val="2"/>
                <w:sz w:val="18"/>
                <w:szCs w:val="22"/>
                <w:lang w:val="en-US"/>
              </w:rPr>
              <w:t>(MHz)</w:t>
            </w:r>
          </w:p>
        </w:tc>
      </w:tr>
      <w:tr w14:paraId="27BE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nil"/>
              <w:right w:val="single" w:color="auto" w:sz="4" w:space="0"/>
            </w:tcBorders>
          </w:tcPr>
          <w:p w14:paraId="35EA5EA3">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FR1</w:t>
            </w:r>
          </w:p>
        </w:tc>
        <w:tc>
          <w:tcPr>
            <w:tcW w:w="4456" w:type="dxa"/>
            <w:tcBorders>
              <w:top w:val="single" w:color="auto" w:sz="4" w:space="0"/>
              <w:left w:val="single" w:color="auto" w:sz="4" w:space="0"/>
              <w:bottom w:val="single" w:color="auto" w:sz="4" w:space="0"/>
              <w:right w:val="single" w:color="auto" w:sz="4" w:space="0"/>
            </w:tcBorders>
          </w:tcPr>
          <w:p w14:paraId="7B3D6CFA">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5</w:t>
            </w:r>
          </w:p>
        </w:tc>
        <w:tc>
          <w:tcPr>
            <w:tcW w:w="1377" w:type="dxa"/>
            <w:tcBorders>
              <w:top w:val="single" w:color="auto" w:sz="4" w:space="0"/>
              <w:left w:val="single" w:color="auto" w:sz="4" w:space="0"/>
              <w:bottom w:val="single" w:color="auto" w:sz="4" w:space="0"/>
              <w:right w:val="single" w:color="auto" w:sz="4" w:space="0"/>
            </w:tcBorders>
          </w:tcPr>
          <w:p w14:paraId="7E8AA3E2">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1</w:t>
            </w:r>
          </w:p>
        </w:tc>
      </w:tr>
      <w:tr w14:paraId="7C8C7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nil"/>
              <w:right w:val="single" w:color="auto" w:sz="4" w:space="0"/>
            </w:tcBorders>
          </w:tcPr>
          <w:p w14:paraId="42D3DC9E">
            <w:pPr>
              <w:keepNext/>
              <w:keepLines/>
              <w:spacing w:after="0"/>
              <w:jc w:val="center"/>
              <w:rPr>
                <w:rFonts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54C36B85">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10</w:t>
            </w:r>
          </w:p>
        </w:tc>
        <w:tc>
          <w:tcPr>
            <w:tcW w:w="1377" w:type="dxa"/>
            <w:tcBorders>
              <w:top w:val="single" w:color="auto" w:sz="4" w:space="0"/>
              <w:left w:val="single" w:color="auto" w:sz="4" w:space="0"/>
              <w:bottom w:val="single" w:color="auto" w:sz="4" w:space="0"/>
              <w:right w:val="single" w:color="auto" w:sz="4" w:space="0"/>
            </w:tcBorders>
          </w:tcPr>
          <w:p w14:paraId="6800AA27">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3</w:t>
            </w:r>
          </w:p>
        </w:tc>
      </w:tr>
      <w:tr w14:paraId="2428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single" w:color="auto" w:sz="4" w:space="0"/>
              <w:right w:val="single" w:color="auto" w:sz="4" w:space="0"/>
            </w:tcBorders>
          </w:tcPr>
          <w:p w14:paraId="3398DEE8">
            <w:pPr>
              <w:keepNext/>
              <w:keepLines/>
              <w:spacing w:after="0"/>
              <w:jc w:val="center"/>
              <w:rPr>
                <w:rFonts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0AAC4792">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 xml:space="preserve">20 </w:t>
            </w:r>
          </w:p>
        </w:tc>
        <w:tc>
          <w:tcPr>
            <w:tcW w:w="1377" w:type="dxa"/>
            <w:tcBorders>
              <w:top w:val="single" w:color="auto" w:sz="4" w:space="0"/>
              <w:left w:val="single" w:color="auto" w:sz="4" w:space="0"/>
              <w:bottom w:val="single" w:color="auto" w:sz="4" w:space="0"/>
              <w:right w:val="single" w:color="auto" w:sz="4" w:space="0"/>
            </w:tcBorders>
          </w:tcPr>
          <w:p w14:paraId="0E4264FD">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6</w:t>
            </w:r>
          </w:p>
        </w:tc>
      </w:tr>
    </w:tbl>
    <w:p w14:paraId="556E3F3C">
      <w:pPr>
        <w:pStyle w:val="134"/>
        <w:numPr>
          <w:ilvl w:val="1"/>
          <w:numId w:val="18"/>
        </w:numPr>
        <w:overflowPunct/>
        <w:autoSpaceDE/>
        <w:autoSpaceDN/>
        <w:adjustRightInd/>
        <w:spacing w:after="120"/>
        <w:ind w:left="1580" w:leftChars="0" w:firstLineChars="0"/>
        <w:textAlignment w:val="auto"/>
        <w:rPr>
          <w:rFonts w:hint="eastAsia" w:ascii="Times New Roman" w:hAnsi="Times New Roman" w:eastAsia="宋体" w:cs="Times New Roman"/>
          <w:color w:val="auto"/>
          <w:szCs w:val="24"/>
          <w:lang w:val="en-US" w:eastAsia="zh-CN"/>
        </w:rPr>
      </w:pPr>
      <w:r>
        <w:rPr>
          <w:rFonts w:hint="eastAsia" w:ascii="Times New Roman" w:hAnsi="Times New Roman" w:eastAsia="宋体" w:cs="Times New Roman"/>
          <w:color w:val="auto"/>
          <w:szCs w:val="24"/>
          <w:lang w:val="en-US" w:eastAsia="zh-CN"/>
        </w:rPr>
        <w:t>Option 2: use 2/3 of the test signal configuration channel bandwidths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4456"/>
        <w:gridCol w:w="1377"/>
      </w:tblGrid>
      <w:tr w14:paraId="5C08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14:paraId="29642534">
            <w:pPr>
              <w:keepNext/>
              <w:keepLines/>
              <w:spacing w:after="0"/>
              <w:jc w:val="center"/>
              <w:rPr>
                <w:rFonts w:ascii="Arial" w:hAnsi="Arial" w:eastAsia="等线" w:cs="Arial"/>
                <w:b/>
                <w:kern w:val="2"/>
                <w:sz w:val="18"/>
                <w:szCs w:val="22"/>
                <w:lang w:val="it-IT"/>
              </w:rPr>
            </w:pPr>
            <w:r>
              <w:rPr>
                <w:rFonts w:hint="eastAsia" w:ascii="Arial" w:hAnsi="Arial" w:eastAsia="等线" w:cs="Arial"/>
                <w:b/>
                <w:kern w:val="2"/>
                <w:sz w:val="18"/>
                <w:szCs w:val="22"/>
                <w:lang w:val="it-IT"/>
              </w:rPr>
              <w:t>Frequency range</w:t>
            </w:r>
          </w:p>
          <w:p w14:paraId="01F3FC09">
            <w:pPr>
              <w:keepNext/>
              <w:keepLines/>
              <w:spacing w:after="0"/>
              <w:jc w:val="center"/>
              <w:rPr>
                <w:rFonts w:ascii="Arial" w:hAnsi="Arial" w:eastAsia="等线" w:cs="Arial"/>
                <w:b/>
                <w:kern w:val="2"/>
                <w:sz w:val="18"/>
                <w:szCs w:val="22"/>
                <w:lang w:val="it-IT"/>
              </w:rPr>
            </w:pPr>
            <w:r>
              <w:rPr>
                <w:rFonts w:hint="eastAsia" w:ascii="Arial" w:hAnsi="Arial" w:eastAsia="等线" w:cs="Arial"/>
                <w:b/>
                <w:kern w:val="2"/>
                <w:sz w:val="18"/>
                <w:szCs w:val="22"/>
                <w:lang w:val="it-IT"/>
              </w:rPr>
              <w:t>(MHz)</w:t>
            </w:r>
          </w:p>
        </w:tc>
        <w:tc>
          <w:tcPr>
            <w:tcW w:w="4456" w:type="dxa"/>
            <w:tcBorders>
              <w:top w:val="single" w:color="auto" w:sz="4" w:space="0"/>
              <w:left w:val="single" w:color="auto" w:sz="4" w:space="0"/>
              <w:bottom w:val="single" w:color="auto" w:sz="4" w:space="0"/>
              <w:right w:val="single" w:color="auto" w:sz="4" w:space="0"/>
            </w:tcBorders>
          </w:tcPr>
          <w:p w14:paraId="081884F8">
            <w:pPr>
              <w:keepNext/>
              <w:keepLines/>
              <w:spacing w:after="0"/>
              <w:jc w:val="center"/>
              <w:rPr>
                <w:rFonts w:ascii="Arial" w:hAnsi="Arial" w:eastAsia="等线" w:cs="Arial"/>
                <w:b/>
                <w:kern w:val="2"/>
                <w:sz w:val="18"/>
                <w:szCs w:val="22"/>
                <w:lang w:val="it-IT"/>
              </w:rPr>
            </w:pPr>
            <w:r>
              <w:rPr>
                <w:rFonts w:hint="eastAsia" w:ascii="Arial" w:hAnsi="Arial" w:eastAsia="等线" w:cs="Arial"/>
                <w:b/>
                <w:kern w:val="2"/>
                <w:sz w:val="18"/>
                <w:szCs w:val="22"/>
                <w:lang w:val="it-IT"/>
              </w:rPr>
              <w:t>Minimum supported</w:t>
            </w:r>
            <w:r>
              <w:rPr>
                <w:rFonts w:hint="eastAsia" w:ascii="Arial" w:hAnsi="Arial" w:eastAsia="等线" w:cs="Arial"/>
                <w:b/>
                <w:i/>
                <w:kern w:val="2"/>
                <w:sz w:val="18"/>
                <w:szCs w:val="22"/>
                <w:lang w:val="it-IT"/>
              </w:rPr>
              <w:t xml:space="preserve"> BS channel bandwidth</w:t>
            </w:r>
            <w:r>
              <w:rPr>
                <w:rFonts w:hint="eastAsia" w:ascii="Arial" w:hAnsi="Arial" w:eastAsia="等线" w:cs="Arial"/>
                <w:b/>
                <w:kern w:val="2"/>
                <w:sz w:val="18"/>
                <w:szCs w:val="22"/>
                <w:lang w:val="it-IT"/>
              </w:rPr>
              <w:t xml:space="preserve"> (MHz)</w:t>
            </w:r>
          </w:p>
        </w:tc>
        <w:tc>
          <w:tcPr>
            <w:tcW w:w="1377" w:type="dxa"/>
            <w:tcBorders>
              <w:top w:val="single" w:color="auto" w:sz="4" w:space="0"/>
              <w:left w:val="single" w:color="auto" w:sz="4" w:space="0"/>
              <w:bottom w:val="single" w:color="auto" w:sz="4" w:space="0"/>
              <w:right w:val="single" w:color="auto" w:sz="4" w:space="0"/>
            </w:tcBorders>
          </w:tcPr>
          <w:p w14:paraId="2FB1CB34">
            <w:pPr>
              <w:keepNext/>
              <w:keepLines/>
              <w:spacing w:after="0"/>
              <w:jc w:val="center"/>
              <w:rPr>
                <w:rFonts w:ascii="Arial" w:hAnsi="Arial" w:eastAsia="等线" w:cs="Arial"/>
                <w:b/>
                <w:kern w:val="2"/>
                <w:sz w:val="18"/>
                <w:szCs w:val="22"/>
              </w:rPr>
            </w:pPr>
            <w:r>
              <w:rPr>
                <w:rFonts w:hint="eastAsia" w:ascii="Arial" w:hAnsi="Arial" w:eastAsia="等线" w:cs="Arial"/>
                <w:b/>
                <w:kern w:val="2"/>
                <w:sz w:val="18"/>
                <w:szCs w:val="22"/>
                <w:lang w:val="en-US"/>
              </w:rPr>
              <w:t>Measurement</w:t>
            </w:r>
          </w:p>
          <w:p w14:paraId="52CD61B2">
            <w:pPr>
              <w:keepNext/>
              <w:keepLines/>
              <w:spacing w:after="0"/>
              <w:jc w:val="center"/>
              <w:rPr>
                <w:rFonts w:ascii="Arial" w:hAnsi="Arial" w:eastAsia="等线" w:cs="Arial"/>
                <w:b/>
                <w:kern w:val="2"/>
                <w:sz w:val="18"/>
                <w:szCs w:val="22"/>
                <w:lang w:val="en-US"/>
              </w:rPr>
            </w:pPr>
            <w:r>
              <w:rPr>
                <w:rFonts w:hint="eastAsia" w:ascii="Arial" w:hAnsi="Arial" w:eastAsia="等线" w:cs="Arial"/>
                <w:b/>
                <w:kern w:val="2"/>
                <w:sz w:val="18"/>
                <w:szCs w:val="22"/>
                <w:lang w:val="en-US"/>
              </w:rPr>
              <w:t>step size</w:t>
            </w:r>
          </w:p>
          <w:p w14:paraId="2C29D620">
            <w:pPr>
              <w:keepNext/>
              <w:keepLines/>
              <w:spacing w:after="0"/>
              <w:jc w:val="center"/>
              <w:rPr>
                <w:rFonts w:ascii="Arial" w:hAnsi="Arial" w:eastAsia="等线" w:cs="Arial"/>
                <w:b/>
                <w:kern w:val="2"/>
                <w:sz w:val="18"/>
                <w:szCs w:val="22"/>
                <w:lang w:val="en-US"/>
              </w:rPr>
            </w:pPr>
            <w:r>
              <w:rPr>
                <w:rFonts w:hint="eastAsia" w:ascii="Arial" w:hAnsi="Arial" w:eastAsia="等线" w:cs="Arial"/>
                <w:b/>
                <w:kern w:val="2"/>
                <w:sz w:val="18"/>
                <w:szCs w:val="22"/>
                <w:lang w:val="en-US"/>
              </w:rPr>
              <w:t>(MHz)</w:t>
            </w:r>
          </w:p>
        </w:tc>
      </w:tr>
      <w:tr w14:paraId="523A3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nil"/>
              <w:right w:val="single" w:color="auto" w:sz="4" w:space="0"/>
            </w:tcBorders>
          </w:tcPr>
          <w:p w14:paraId="458CA40E">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FR1</w:t>
            </w:r>
          </w:p>
        </w:tc>
        <w:tc>
          <w:tcPr>
            <w:tcW w:w="4456" w:type="dxa"/>
            <w:tcBorders>
              <w:top w:val="single" w:color="auto" w:sz="4" w:space="0"/>
              <w:left w:val="single" w:color="auto" w:sz="4" w:space="0"/>
              <w:bottom w:val="single" w:color="auto" w:sz="4" w:space="0"/>
              <w:right w:val="single" w:color="auto" w:sz="4" w:space="0"/>
            </w:tcBorders>
          </w:tcPr>
          <w:p w14:paraId="3F7E7A90">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5</w:t>
            </w:r>
          </w:p>
        </w:tc>
        <w:tc>
          <w:tcPr>
            <w:tcW w:w="1377" w:type="dxa"/>
            <w:tcBorders>
              <w:top w:val="single" w:color="auto" w:sz="4" w:space="0"/>
              <w:left w:val="single" w:color="auto" w:sz="4" w:space="0"/>
              <w:bottom w:val="single" w:color="auto" w:sz="4" w:space="0"/>
              <w:right w:val="single" w:color="auto" w:sz="4" w:space="0"/>
            </w:tcBorders>
          </w:tcPr>
          <w:p w14:paraId="7230B91B">
            <w:pPr>
              <w:keepNext/>
              <w:keepLines/>
              <w:spacing w:after="0"/>
              <w:jc w:val="center"/>
              <w:rPr>
                <w:rFonts w:ascii="Arial" w:hAnsi="Arial" w:eastAsia="等线" w:cs="Arial"/>
                <w:kern w:val="2"/>
                <w:sz w:val="18"/>
                <w:szCs w:val="22"/>
                <w:lang w:val="en-US"/>
              </w:rPr>
            </w:pPr>
            <w:r>
              <w:rPr>
                <w:rFonts w:ascii="Arial" w:hAnsi="Arial" w:eastAsia="等线" w:cs="Arial"/>
                <w:kern w:val="2"/>
                <w:sz w:val="18"/>
                <w:szCs w:val="22"/>
                <w:lang w:val="en-US"/>
              </w:rPr>
              <w:t>3</w:t>
            </w:r>
          </w:p>
        </w:tc>
      </w:tr>
      <w:tr w14:paraId="4D8F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nil"/>
              <w:right w:val="single" w:color="auto" w:sz="4" w:space="0"/>
            </w:tcBorders>
          </w:tcPr>
          <w:p w14:paraId="1E3654C6">
            <w:pPr>
              <w:keepNext/>
              <w:keepLines/>
              <w:spacing w:after="0"/>
              <w:jc w:val="center"/>
              <w:rPr>
                <w:rFonts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255F014E">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10</w:t>
            </w:r>
          </w:p>
        </w:tc>
        <w:tc>
          <w:tcPr>
            <w:tcW w:w="1377" w:type="dxa"/>
            <w:tcBorders>
              <w:top w:val="single" w:color="auto" w:sz="4" w:space="0"/>
              <w:left w:val="single" w:color="auto" w:sz="4" w:space="0"/>
              <w:bottom w:val="single" w:color="auto" w:sz="4" w:space="0"/>
              <w:right w:val="single" w:color="auto" w:sz="4" w:space="0"/>
            </w:tcBorders>
          </w:tcPr>
          <w:p w14:paraId="48C1CADA">
            <w:pPr>
              <w:keepNext/>
              <w:keepLines/>
              <w:spacing w:after="0"/>
              <w:jc w:val="center"/>
              <w:rPr>
                <w:rFonts w:ascii="Arial" w:hAnsi="Arial" w:eastAsia="等线" w:cs="Arial"/>
                <w:kern w:val="2"/>
                <w:sz w:val="18"/>
                <w:szCs w:val="22"/>
                <w:lang w:val="en-US"/>
              </w:rPr>
            </w:pPr>
            <w:r>
              <w:rPr>
                <w:rFonts w:ascii="Arial" w:hAnsi="Arial" w:eastAsia="等线" w:cs="Arial"/>
                <w:kern w:val="2"/>
                <w:sz w:val="18"/>
                <w:szCs w:val="22"/>
                <w:lang w:val="en-US"/>
              </w:rPr>
              <w:t>6</w:t>
            </w:r>
          </w:p>
        </w:tc>
      </w:tr>
      <w:tr w14:paraId="453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single" w:color="auto" w:sz="4" w:space="0"/>
              <w:right w:val="single" w:color="auto" w:sz="4" w:space="0"/>
            </w:tcBorders>
          </w:tcPr>
          <w:p w14:paraId="2559ED8A">
            <w:pPr>
              <w:keepNext/>
              <w:keepLines/>
              <w:spacing w:after="0"/>
              <w:jc w:val="center"/>
              <w:rPr>
                <w:rFonts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05FA7AD6">
            <w:pPr>
              <w:keepNext/>
              <w:keepLines/>
              <w:spacing w:after="0"/>
              <w:jc w:val="center"/>
              <w:rPr>
                <w:rFonts w:ascii="Arial" w:hAnsi="Arial" w:eastAsia="等线" w:cs="Arial"/>
                <w:kern w:val="2"/>
                <w:sz w:val="18"/>
                <w:szCs w:val="22"/>
                <w:lang w:val="en-US"/>
              </w:rPr>
            </w:pPr>
            <w:r>
              <w:rPr>
                <w:rFonts w:hint="eastAsia" w:ascii="Arial" w:hAnsi="Arial" w:eastAsia="等线" w:cs="Arial"/>
                <w:kern w:val="2"/>
                <w:sz w:val="18"/>
                <w:szCs w:val="22"/>
                <w:lang w:val="en-US"/>
              </w:rPr>
              <w:t xml:space="preserve">20 </w:t>
            </w:r>
          </w:p>
        </w:tc>
        <w:tc>
          <w:tcPr>
            <w:tcW w:w="1377" w:type="dxa"/>
            <w:tcBorders>
              <w:top w:val="single" w:color="auto" w:sz="4" w:space="0"/>
              <w:left w:val="single" w:color="auto" w:sz="4" w:space="0"/>
              <w:bottom w:val="single" w:color="auto" w:sz="4" w:space="0"/>
              <w:right w:val="single" w:color="auto" w:sz="4" w:space="0"/>
            </w:tcBorders>
          </w:tcPr>
          <w:p w14:paraId="754723F4">
            <w:pPr>
              <w:keepNext/>
              <w:keepLines/>
              <w:spacing w:after="0"/>
              <w:jc w:val="center"/>
              <w:rPr>
                <w:rFonts w:ascii="Arial" w:hAnsi="Arial" w:eastAsia="等线" w:cs="Arial"/>
                <w:kern w:val="2"/>
                <w:sz w:val="18"/>
                <w:szCs w:val="22"/>
                <w:lang w:val="en-US"/>
              </w:rPr>
            </w:pPr>
            <w:r>
              <w:rPr>
                <w:rFonts w:ascii="Arial" w:hAnsi="Arial" w:eastAsia="等线" w:cs="Arial"/>
                <w:kern w:val="2"/>
                <w:sz w:val="18"/>
                <w:szCs w:val="22"/>
                <w:lang w:val="en-US"/>
              </w:rPr>
              <w:t>13</w:t>
            </w:r>
          </w:p>
        </w:tc>
      </w:tr>
    </w:tbl>
    <w:p w14:paraId="74D07426">
      <w:pPr>
        <w:rPr>
          <w:rFonts w:hint="default" w:ascii="Times New Roman" w:hAnsi="Times New Roman" w:cs="Times New Roman"/>
          <w:b/>
          <w:bCs/>
          <w:iCs/>
          <w:color w:val="auto"/>
          <w:lang w:val="en-US" w:eastAsia="zh-CN"/>
        </w:rPr>
      </w:pPr>
    </w:p>
    <w:p w14:paraId="41B628A9">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 xml:space="preserve">Issue 2-2: </w:t>
      </w:r>
      <w:r>
        <w:rPr>
          <w:rFonts w:hint="eastAsia" w:ascii="Times New Roman" w:hAnsi="Times New Roman" w:cs="Times New Roman"/>
          <w:b/>
          <w:bCs/>
          <w:iCs/>
          <w:color w:val="auto"/>
          <w:lang w:val="en-US" w:eastAsia="zh-CN"/>
        </w:rPr>
        <w:t>Reference method and preferred method</w:t>
      </w:r>
    </w:p>
    <w:p w14:paraId="6F4FCF66">
      <w:pPr>
        <w:pStyle w:val="134"/>
        <w:numPr>
          <w:ilvl w:val="0"/>
          <w:numId w:val="18"/>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 xml:space="preserve"> Agreement: </w:t>
      </w:r>
    </w:p>
    <w:p w14:paraId="23E1720E">
      <w:pPr>
        <w:pStyle w:val="134"/>
        <w:numPr>
          <w:ilvl w:val="2"/>
          <w:numId w:val="19"/>
        </w:numPr>
        <w:overflowPunct/>
        <w:autoSpaceDE/>
        <w:autoSpaceDN/>
        <w:adjustRightInd/>
        <w:spacing w:after="120"/>
        <w:ind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 xml:space="preserve">The anechoic chamber to be clarified as the preferred test method for TRP measurements (as the </w:t>
      </w:r>
      <w:r>
        <w:rPr>
          <w:rFonts w:hint="default" w:ascii="Times New Roman" w:hAnsi="Times New Roman" w:eastAsia="宋体" w:cs="Times New Roman"/>
          <w:color w:val="auto"/>
          <w:lang w:val="en-US" w:eastAsia="zh-CN"/>
        </w:rPr>
        <w:t>reverberation</w:t>
      </w:r>
      <w:r>
        <w:rPr>
          <w:rFonts w:hint="default" w:ascii="Times New Roman" w:hAnsi="Times New Roman" w:cs="Times New Roman"/>
          <w:iCs/>
          <w:color w:val="auto"/>
          <w:lang w:val="en-US" w:eastAsia="zh-CN"/>
        </w:rPr>
        <w:t xml:space="preserve"> chamber is already considered as the alternative test method); </w:t>
      </w:r>
    </w:p>
    <w:p w14:paraId="4DAC1BD6">
      <w:pPr>
        <w:pStyle w:val="134"/>
        <w:numPr>
          <w:ilvl w:val="4"/>
          <w:numId w:val="19"/>
        </w:numPr>
        <w:overflowPunct/>
        <w:autoSpaceDE/>
        <w:autoSpaceDN/>
        <w:adjustRightInd/>
        <w:spacing w:after="120"/>
        <w:ind w:left="158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 xml:space="preserve">Further discuss whether the “preferred” terminology is the right one. </w:t>
      </w:r>
    </w:p>
    <w:p w14:paraId="5C41ECA0">
      <w:pPr>
        <w:pStyle w:val="134"/>
        <w:numPr>
          <w:ilvl w:val="4"/>
          <w:numId w:val="19"/>
        </w:numPr>
        <w:overflowPunct/>
        <w:autoSpaceDE/>
        <w:autoSpaceDN/>
        <w:adjustRightInd/>
        <w:spacing w:after="120"/>
        <w:ind w:left="1580" w:leftChars="0" w:hanging="36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Further work on CR to TR 37.941 to clarify definition of the anechoic chamber.</w:t>
      </w:r>
    </w:p>
    <w:p w14:paraId="735F8CD3">
      <w:pPr>
        <w:pStyle w:val="134"/>
        <w:numPr>
          <w:ilvl w:val="2"/>
          <w:numId w:val="19"/>
        </w:numPr>
        <w:overflowPunct/>
        <w:autoSpaceDE/>
        <w:autoSpaceDN/>
        <w:adjustRightInd/>
        <w:spacing w:after="120"/>
        <w:ind w:firstLineChars="0"/>
        <w:textAlignment w:val="auto"/>
        <w:rPr>
          <w:rFonts w:hint="default" w:ascii="Times New Roman" w:hAnsi="Times New Roman" w:cs="Times New Roman"/>
          <w:iCs/>
          <w:color w:val="auto"/>
          <w:lang w:val="en-US" w:eastAsia="zh-CN"/>
        </w:rPr>
      </w:pPr>
      <w:r>
        <w:rPr>
          <w:rFonts w:hint="default" w:ascii="Times New Roman" w:hAnsi="Times New Roman" w:eastAsia="宋体" w:cs="Times New Roman"/>
          <w:color w:val="auto"/>
          <w:lang w:val="en-US" w:eastAsia="zh-CN"/>
        </w:rPr>
        <w:t>Enhancements to the Annex I (TRP sampling grids) to be further detailed to address Spherical Equal Angle Grid</w:t>
      </w:r>
      <w:r>
        <w:rPr>
          <w:rFonts w:hint="default" w:ascii="Times New Roman" w:hAnsi="Times New Roman" w:cs="Times New Roman"/>
          <w:iCs/>
          <w:color w:val="auto"/>
          <w:lang w:val="en-US" w:eastAsia="zh-CN"/>
        </w:rPr>
        <w:t>; related modifications to Annex I to be merged with the above chamber modifications in sub-bullet a.</w:t>
      </w:r>
    </w:p>
    <w:p w14:paraId="33243324">
      <w:pPr>
        <w:pStyle w:val="134"/>
        <w:numPr>
          <w:ilvl w:val="4"/>
          <w:numId w:val="19"/>
        </w:numPr>
        <w:overflowPunct/>
        <w:autoSpaceDE/>
        <w:autoSpaceDN/>
        <w:adjustRightInd/>
        <w:spacing w:after="120"/>
        <w:ind w:left="1580" w:leftChars="0" w:firstLineChars="0"/>
        <w:textAlignment w:val="auto"/>
        <w:rPr>
          <w:rFonts w:hint="eastAsia"/>
          <w:lang w:val="en-US" w:eastAsia="zh-CN"/>
        </w:rPr>
      </w:pPr>
      <w:r>
        <w:rPr>
          <w:rFonts w:hint="default" w:ascii="Times New Roman" w:hAnsi="Times New Roman" w:cs="Times New Roman"/>
          <w:iCs/>
          <w:color w:val="auto"/>
          <w:highlight w:val="none"/>
          <w:lang w:val="en-US" w:eastAsia="zh-CN"/>
        </w:rPr>
        <w:t xml:space="preserve">Further discuss whether the “reference” terminology is the right one. </w:t>
      </w:r>
    </w:p>
    <w:p w14:paraId="6118BA85">
      <w:pPr>
        <w:pStyle w:val="4"/>
        <w:rPr>
          <w:rFonts w:hint="eastAsia" w:eastAsia="宋体"/>
          <w:b/>
          <w:bCs/>
          <w:kern w:val="2"/>
          <w:sz w:val="21"/>
          <w:szCs w:val="22"/>
          <w:lang w:val="en-US" w:eastAsia="zh-CN"/>
        </w:rPr>
      </w:pPr>
      <w:r>
        <w:rPr>
          <w:lang w:eastAsia="ja-JP"/>
        </w:rPr>
        <w:t>2.4.2</w:t>
      </w:r>
      <w:r>
        <w:rPr>
          <w:lang w:eastAsia="ja-JP"/>
        </w:rPr>
        <w:tab/>
      </w:r>
      <w:r>
        <w:rPr>
          <w:lang w:eastAsia="ja-JP"/>
        </w:rPr>
        <w:t>Remaining Open issues</w:t>
      </w:r>
    </w:p>
    <w:p w14:paraId="6A13C20A">
      <w:pPr>
        <w:keepNext/>
        <w:keepLines/>
        <w:rPr>
          <w:rFonts w:hint="default" w:ascii="Times New Roman" w:hAnsi="Times New Roman" w:cs="Times New Roman"/>
          <w:lang w:val="en-US" w:eastAsia="zh-CN"/>
        </w:rPr>
      </w:pPr>
      <w:r>
        <w:rPr>
          <w:rFonts w:hint="eastAsia" w:eastAsia="宋体"/>
          <w:b/>
          <w:bCs/>
          <w:kern w:val="2"/>
          <w:sz w:val="21"/>
          <w:szCs w:val="22"/>
          <w:lang w:val="en-US" w:eastAsia="zh-CN"/>
        </w:rPr>
        <w:t xml:space="preserve">Core part: </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 xml:space="preserve">Tx spurious emissions co-existence limits re-evaluation: </w:t>
      </w:r>
    </w:p>
    <w:p w14:paraId="1C71D3C8">
      <w:pPr>
        <w:pStyle w:val="134"/>
        <w:numPr>
          <w:ilvl w:val="1"/>
          <w:numId w:val="18"/>
        </w:numPr>
        <w:overflowPunct/>
        <w:autoSpaceDE/>
        <w:autoSpaceDN/>
        <w:adjustRightInd/>
        <w:spacing w:after="120"/>
        <w:ind w:left="1440" w:firstLineChars="0"/>
        <w:textAlignment w:val="auto"/>
        <w:rPr>
          <w:rFonts w:hint="default" w:eastAsia="宋体"/>
          <w:b/>
          <w:bCs/>
          <w:kern w:val="2"/>
          <w:sz w:val="21"/>
          <w:szCs w:val="22"/>
          <w:lang w:val="en-US" w:eastAsia="zh-CN"/>
        </w:rPr>
      </w:pPr>
      <w:r>
        <w:rPr>
          <w:rFonts w:hint="eastAsia" w:ascii="Times New Roman" w:hAnsi="Times New Roman" w:cs="Times New Roman"/>
          <w:iCs/>
          <w:color w:val="auto"/>
          <w:highlight w:val="none"/>
          <w:lang w:val="en-US" w:eastAsia="zh-CN"/>
        </w:rPr>
        <w:t xml:space="preserve">Continue the discussion whether the modification for transmitter spurious emission </w:t>
      </w:r>
      <w:r>
        <w:rPr>
          <w:rFonts w:hint="default" w:ascii="Times New Roman" w:hAnsi="Times New Roman" w:cs="Times New Roman"/>
          <w:iCs/>
          <w:color w:val="auto"/>
          <w:highlight w:val="none"/>
          <w:lang w:val="en-US" w:eastAsia="zh-CN"/>
        </w:rPr>
        <w:t>co-existence limits</w:t>
      </w:r>
      <w:r>
        <w:rPr>
          <w:rFonts w:hint="eastAsia" w:ascii="Times New Roman" w:hAnsi="Times New Roman" w:cs="Times New Roman"/>
          <w:iCs/>
          <w:color w:val="auto"/>
          <w:highlight w:val="none"/>
          <w:lang w:val="en-US" w:eastAsia="zh-CN"/>
        </w:rPr>
        <w:t xml:space="preserve"> is agreed or not</w:t>
      </w:r>
      <w:bookmarkStart w:id="2" w:name="_GoBack"/>
      <w:bookmarkEnd w:id="2"/>
      <w:r>
        <w:rPr>
          <w:rFonts w:hint="eastAsia" w:ascii="Times New Roman" w:hAnsi="Times New Roman" w:cs="Times New Roman"/>
          <w:iCs/>
          <w:color w:val="auto"/>
          <w:highlight w:val="none"/>
          <w:lang w:val="en-US" w:eastAsia="zh-CN"/>
        </w:rPr>
        <w:t>.</w:t>
      </w:r>
    </w:p>
    <w:p w14:paraId="1ED50C66">
      <w:pPr>
        <w:keepNext/>
        <w:keepLines/>
        <w:rPr>
          <w:rFonts w:eastAsia="宋体"/>
          <w:b/>
          <w:bCs/>
          <w:kern w:val="2"/>
          <w:sz w:val="21"/>
          <w:szCs w:val="22"/>
          <w:lang w:val="en-US" w:eastAsia="zh-CN"/>
        </w:rPr>
      </w:pPr>
      <w:r>
        <w:rPr>
          <w:rFonts w:hint="eastAsia" w:eastAsia="宋体"/>
          <w:b/>
          <w:bCs/>
          <w:kern w:val="2"/>
          <w:sz w:val="21"/>
          <w:szCs w:val="22"/>
          <w:lang w:val="en-US" w:eastAsia="zh-CN"/>
        </w:rPr>
        <w:t xml:space="preserve">Perf part: Open issues for the reduction of testing scope </w:t>
      </w:r>
    </w:p>
    <w:p w14:paraId="3E8812D0">
      <w:pPr>
        <w:rPr>
          <w:b/>
          <w:bCs/>
          <w:iCs/>
          <w:lang w:val="en-US" w:eastAsia="zh-CN"/>
        </w:rPr>
      </w:pPr>
      <w:r>
        <w:rPr>
          <w:rFonts w:hint="eastAsia"/>
          <w:b/>
          <w:bCs/>
          <w:iCs/>
          <w:lang w:val="en-US" w:eastAsia="zh-CN"/>
        </w:rPr>
        <w:t>Out of band blocking</w:t>
      </w:r>
    </w:p>
    <w:p w14:paraId="6F8DD94E">
      <w:pPr>
        <w:pStyle w:val="134"/>
        <w:numPr>
          <w:ilvl w:val="1"/>
          <w:numId w:val="18"/>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FFS on the step size for OOBB conformance testing</w:t>
      </w:r>
    </w:p>
    <w:p w14:paraId="22444253">
      <w:pPr>
        <w:keepNext/>
        <w:keepLines/>
        <w:rPr>
          <w:rFonts w:eastAsia="宋体"/>
          <w:b/>
          <w:bCs/>
          <w:kern w:val="2"/>
          <w:sz w:val="21"/>
          <w:szCs w:val="22"/>
          <w:lang w:val="en-US" w:eastAsia="zh-CN"/>
        </w:rPr>
      </w:pPr>
      <w:r>
        <w:rPr>
          <w:rFonts w:hint="eastAsia" w:eastAsia="宋体"/>
          <w:b/>
          <w:bCs/>
          <w:kern w:val="2"/>
          <w:sz w:val="21"/>
          <w:szCs w:val="22"/>
          <w:lang w:val="en-US" w:eastAsia="zh-CN"/>
        </w:rPr>
        <w:t>Open issues for the reduction of simplification BS TRP test methods for FR1 and FR2</w:t>
      </w:r>
    </w:p>
    <w:p w14:paraId="1CD3C4FA">
      <w:pPr>
        <w:pStyle w:val="134"/>
        <w:numPr>
          <w:ilvl w:val="1"/>
          <w:numId w:val="18"/>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 xml:space="preserve">Further discuss </w:t>
      </w:r>
      <w:r>
        <w:rPr>
          <w:rFonts w:hint="eastAsia" w:ascii="Times New Roman" w:hAnsi="Times New Roman" w:cs="Times New Roman"/>
          <w:iCs/>
          <w:color w:val="auto"/>
          <w:highlight w:val="none"/>
          <w:lang w:val="en-US" w:eastAsia="zh-CN"/>
        </w:rPr>
        <w:t>how to clarify the definition of the anechoic chamber in TR37.941</w:t>
      </w:r>
    </w:p>
    <w:p w14:paraId="195F6A27">
      <w:pPr>
        <w:pStyle w:val="134"/>
        <w:numPr>
          <w:ilvl w:val="1"/>
          <w:numId w:val="18"/>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eastAsia" w:ascii="Times New Roman" w:hAnsi="Times New Roman" w:cs="Times New Roman"/>
          <w:iCs/>
          <w:color w:val="auto"/>
          <w:highlight w:val="none"/>
          <w:lang w:val="en-US" w:eastAsia="zh-CN"/>
        </w:rPr>
        <w:t>Further discuss how to improve the Annex I (TRP sampling grid)</w:t>
      </w:r>
    </w:p>
    <w:p w14:paraId="56C74A1A">
      <w:pPr>
        <w:pStyle w:val="3"/>
        <w:rPr>
          <w:lang w:eastAsia="ja-JP"/>
        </w:rPr>
      </w:pPr>
      <w:r>
        <w:rPr>
          <w:lang w:eastAsia="ja-JP"/>
        </w:rPr>
        <w:t>2.5</w:t>
      </w:r>
      <w:r>
        <w:rPr>
          <w:lang w:eastAsia="ja-JP"/>
        </w:rPr>
        <w:tab/>
      </w:r>
      <w:r>
        <w:rPr>
          <w:rFonts w:hint="eastAsia"/>
          <w:lang w:eastAsia="ja-JP"/>
        </w:rPr>
        <w:t>RAN</w:t>
      </w:r>
      <w:r>
        <w:rPr>
          <w:lang w:eastAsia="ja-JP"/>
        </w:rPr>
        <w:t>5</w:t>
      </w:r>
    </w:p>
    <w:p w14:paraId="604C09FC">
      <w:pPr>
        <w:pStyle w:val="4"/>
        <w:rPr>
          <w:lang w:eastAsia="ja-JP"/>
        </w:rPr>
      </w:pPr>
      <w:r>
        <w:rPr>
          <w:lang w:eastAsia="ja-JP"/>
        </w:rPr>
        <w:t>2.5.1</w:t>
      </w:r>
      <w:r>
        <w:rPr>
          <w:lang w:eastAsia="ja-JP"/>
        </w:rPr>
        <w:tab/>
      </w:r>
      <w:r>
        <w:rPr>
          <w:lang w:eastAsia="ja-JP"/>
        </w:rPr>
        <w:t>Agreements</w:t>
      </w:r>
    </w:p>
    <w:p w14:paraId="77E3FDEF">
      <w:pPr>
        <w:pStyle w:val="4"/>
        <w:rPr>
          <w:lang w:eastAsia="ja-JP"/>
        </w:rPr>
      </w:pPr>
      <w:r>
        <w:rPr>
          <w:lang w:eastAsia="ja-JP"/>
        </w:rPr>
        <w:t>2.5.2</w:t>
      </w:r>
      <w:r>
        <w:rPr>
          <w:lang w:eastAsia="ja-JP"/>
        </w:rPr>
        <w:tab/>
      </w:r>
      <w:r>
        <w:rPr>
          <w:lang w:eastAsia="ja-JP"/>
        </w:rPr>
        <w:t>Remaining Open issues</w:t>
      </w:r>
    </w:p>
    <w:p w14:paraId="55CFC512">
      <w:pPr>
        <w:pStyle w:val="4"/>
        <w:rPr>
          <w:lang w:eastAsia="ja-JP"/>
        </w:rPr>
      </w:pPr>
      <w:r>
        <w:rPr>
          <w:lang w:eastAsia="ja-JP"/>
        </w:rPr>
        <w:t>2.5.3</w:t>
      </w:r>
      <w:r>
        <w:rPr>
          <w:lang w:eastAsia="ja-JP"/>
        </w:rPr>
        <w:tab/>
      </w:r>
      <w:r>
        <w:rPr>
          <w:lang w:eastAsia="ja-JP"/>
        </w:rPr>
        <w:t>Remaining Open issues with cross-WG dependencies</w:t>
      </w:r>
    </w:p>
    <w:p w14:paraId="0C7811F1">
      <w:pPr>
        <w:pStyle w:val="3"/>
        <w:rPr>
          <w:lang w:eastAsia="ja-JP"/>
        </w:rPr>
      </w:pPr>
      <w:r>
        <w:rPr>
          <w:lang w:eastAsia="ja-JP"/>
        </w:rPr>
        <w:t>2.6</w:t>
      </w:r>
      <w:r>
        <w:rPr>
          <w:lang w:eastAsia="ja-JP"/>
        </w:rPr>
        <w:tab/>
      </w:r>
      <w:r>
        <w:rPr>
          <w:rFonts w:hint="eastAsia"/>
          <w:lang w:eastAsia="ja-JP"/>
        </w:rPr>
        <w:t>RAN6</w:t>
      </w:r>
    </w:p>
    <w:p w14:paraId="46454998">
      <w:pPr>
        <w:pStyle w:val="4"/>
        <w:rPr>
          <w:lang w:eastAsia="ja-JP"/>
        </w:rPr>
      </w:pPr>
      <w:r>
        <w:rPr>
          <w:lang w:eastAsia="ja-JP"/>
        </w:rPr>
        <w:t>2.6.1</w:t>
      </w:r>
      <w:r>
        <w:rPr>
          <w:lang w:eastAsia="ja-JP"/>
        </w:rPr>
        <w:tab/>
      </w:r>
      <w:r>
        <w:rPr>
          <w:lang w:eastAsia="ja-JP"/>
        </w:rPr>
        <w:t>Agreements</w:t>
      </w:r>
    </w:p>
    <w:p w14:paraId="1BC53A9F">
      <w:pPr>
        <w:pStyle w:val="4"/>
        <w:rPr>
          <w:lang w:eastAsia="ja-JP"/>
        </w:rPr>
      </w:pPr>
      <w:r>
        <w:rPr>
          <w:lang w:eastAsia="ja-JP"/>
        </w:rPr>
        <w:t>2.6.2</w:t>
      </w:r>
      <w:r>
        <w:rPr>
          <w:lang w:eastAsia="ja-JP"/>
        </w:rPr>
        <w:tab/>
      </w:r>
      <w:r>
        <w:rPr>
          <w:lang w:eastAsia="ja-JP"/>
        </w:rPr>
        <w:t>Remaining Open issues</w:t>
      </w:r>
    </w:p>
    <w:p w14:paraId="2C866F08">
      <w:pPr>
        <w:pStyle w:val="2"/>
      </w:pPr>
      <w:r>
        <w:t>3.</w:t>
      </w:r>
      <w:r>
        <w:tab/>
      </w:r>
      <w:r>
        <w:t>Detailed progress in SA/CT WGs since last TSG meeting (for all involved WGs)</w:t>
      </w:r>
    </w:p>
    <w:p w14:paraId="001D4596">
      <w:pPr>
        <w:pStyle w:val="3"/>
        <w:rPr>
          <w:lang w:eastAsia="ja-JP"/>
        </w:rPr>
      </w:pPr>
      <w:r>
        <w:rPr>
          <w:lang w:eastAsia="ja-JP"/>
        </w:rPr>
        <w:t>3.1</w:t>
      </w:r>
      <w:r>
        <w:rPr>
          <w:lang w:eastAsia="ja-JP"/>
        </w:rPr>
        <w:tab/>
      </w:r>
      <w:r>
        <w:rPr>
          <w:lang w:eastAsia="ja-JP"/>
        </w:rPr>
        <w:t>SAx/CTs</w:t>
      </w:r>
    </w:p>
    <w:p w14:paraId="2871FA7E">
      <w:pPr>
        <w:pStyle w:val="4"/>
        <w:rPr>
          <w:lang w:eastAsia="ja-JP"/>
        </w:rPr>
      </w:pPr>
      <w:r>
        <w:rPr>
          <w:lang w:eastAsia="ja-JP"/>
        </w:rPr>
        <w:t>3.1.1</w:t>
      </w:r>
      <w:r>
        <w:rPr>
          <w:lang w:eastAsia="ja-JP"/>
        </w:rPr>
        <w:tab/>
      </w:r>
      <w:r>
        <w:rPr>
          <w:lang w:eastAsia="ja-JP"/>
        </w:rPr>
        <w:t>Agreements with cross-TSG impacts</w:t>
      </w:r>
    </w:p>
    <w:p w14:paraId="2E833528">
      <w:pPr>
        <w:pStyle w:val="4"/>
        <w:rPr>
          <w:lang w:eastAsia="ja-JP"/>
        </w:rPr>
      </w:pPr>
      <w:r>
        <w:rPr>
          <w:lang w:eastAsia="ja-JP"/>
        </w:rPr>
        <w:t>3.1.2</w:t>
      </w:r>
      <w:r>
        <w:rPr>
          <w:lang w:eastAsia="ja-JP"/>
        </w:rPr>
        <w:tab/>
      </w:r>
      <w:r>
        <w:rPr>
          <w:lang w:eastAsia="ja-JP"/>
        </w:rPr>
        <w:t>Remaining Open issues with cross-TSG impacts</w:t>
      </w:r>
    </w:p>
    <w:p w14:paraId="0FD79EFF">
      <w:pPr>
        <w:pStyle w:val="2"/>
        <w:rPr>
          <w:rFonts w:hint="eastAsia"/>
          <w:kern w:val="2"/>
          <w:sz w:val="21"/>
          <w:lang w:val="en-US" w:eastAsia="zh-CN"/>
        </w:rPr>
      </w:pPr>
      <w:r>
        <w:t>4.</w:t>
      </w:r>
      <w:r>
        <w:tab/>
      </w:r>
      <w:r>
        <w:t>References</w:t>
      </w:r>
    </w:p>
    <w:p w14:paraId="21785375">
      <w:pPr>
        <w:pStyle w:val="3"/>
        <w:ind w:left="0" w:firstLine="0"/>
        <w:rPr>
          <w:rFonts w:hint="eastAsia"/>
          <w:kern w:val="2"/>
          <w:sz w:val="21"/>
          <w:lang w:val="en-US" w:eastAsia="zh-CN"/>
        </w:rPr>
      </w:pPr>
      <w:r>
        <w:rPr>
          <w:rFonts w:hint="eastAsia" w:eastAsiaTheme="minorEastAsia"/>
          <w:lang w:eastAsia="zh-CN"/>
        </w:rPr>
        <w:t>RAN4#11</w:t>
      </w:r>
      <w:r>
        <w:rPr>
          <w:rFonts w:hint="eastAsia" w:eastAsiaTheme="minorEastAsia"/>
          <w:lang w:val="en-US" w:eastAsia="zh-CN"/>
        </w:rPr>
        <w:t>6</w:t>
      </w:r>
    </w:p>
    <w:p w14:paraId="3CF6BD14">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R4-2509190</w:t>
      </w:r>
      <w:r>
        <w:rPr>
          <w:rFonts w:hint="eastAsia"/>
          <w:kern w:val="2"/>
          <w:sz w:val="21"/>
          <w:lang w:val="en-US" w:eastAsia="zh-CN"/>
        </w:rPr>
        <w:tab/>
      </w:r>
      <w:r>
        <w:rPr>
          <w:rFonts w:hint="eastAsia"/>
          <w:kern w:val="2"/>
          <w:sz w:val="21"/>
          <w:lang w:val="en-US" w:eastAsia="zh-CN"/>
        </w:rPr>
        <w:t>Transmitter co-existence spurious emission requirements</w:t>
      </w:r>
      <w:r>
        <w:rPr>
          <w:rFonts w:hint="eastAsia"/>
          <w:kern w:val="2"/>
          <w:sz w:val="21"/>
          <w:lang w:val="en-US" w:eastAsia="zh-CN"/>
        </w:rPr>
        <w:tab/>
      </w:r>
      <w:r>
        <w:rPr>
          <w:rFonts w:hint="eastAsia"/>
          <w:kern w:val="2"/>
          <w:sz w:val="21"/>
          <w:lang w:val="en-US" w:eastAsia="zh-CN"/>
        </w:rPr>
        <w:t>Nokia</w:t>
      </w:r>
    </w:p>
    <w:p w14:paraId="1728CBA9">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R4-2509191</w:t>
      </w:r>
      <w:r>
        <w:rPr>
          <w:rFonts w:hint="eastAsia"/>
          <w:kern w:val="2"/>
          <w:sz w:val="21"/>
          <w:lang w:val="en-US" w:eastAsia="zh-CN"/>
        </w:rPr>
        <w:tab/>
      </w:r>
      <w:r>
        <w:rPr>
          <w:rFonts w:hint="eastAsia"/>
          <w:kern w:val="2"/>
          <w:sz w:val="21"/>
          <w:lang w:val="en-US" w:eastAsia="zh-CN"/>
        </w:rPr>
        <w:t>Simplification of BS TRP test methods</w:t>
      </w:r>
      <w:r>
        <w:rPr>
          <w:rFonts w:hint="eastAsia"/>
          <w:kern w:val="2"/>
          <w:sz w:val="21"/>
          <w:lang w:val="en-US" w:eastAsia="zh-CN"/>
        </w:rPr>
        <w:tab/>
      </w:r>
      <w:r>
        <w:rPr>
          <w:rFonts w:hint="eastAsia"/>
          <w:kern w:val="2"/>
          <w:sz w:val="21"/>
          <w:lang w:val="en-US" w:eastAsia="zh-CN"/>
        </w:rPr>
        <w:t>Nokia</w:t>
      </w:r>
    </w:p>
    <w:p w14:paraId="171F7327">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R4-2509356</w:t>
      </w:r>
      <w:r>
        <w:rPr>
          <w:rFonts w:hint="eastAsia"/>
          <w:kern w:val="2"/>
          <w:sz w:val="21"/>
          <w:lang w:val="en-US" w:eastAsia="zh-CN"/>
        </w:rPr>
        <w:tab/>
      </w:r>
      <w:r>
        <w:rPr>
          <w:rFonts w:hint="eastAsia"/>
          <w:kern w:val="2"/>
          <w:sz w:val="21"/>
          <w:lang w:val="en-US" w:eastAsia="zh-CN"/>
        </w:rPr>
        <w:t>Discussion on angle and coordinate system for Expected EIRP mask for upper 6GHz</w:t>
      </w:r>
      <w:r>
        <w:rPr>
          <w:rFonts w:hint="eastAsia"/>
          <w:kern w:val="2"/>
          <w:sz w:val="21"/>
          <w:lang w:val="en-US" w:eastAsia="zh-CN"/>
        </w:rPr>
        <w:tab/>
      </w:r>
      <w:r>
        <w:rPr>
          <w:rFonts w:hint="eastAsia"/>
          <w:kern w:val="2"/>
          <w:sz w:val="21"/>
          <w:lang w:val="en-US" w:eastAsia="zh-CN"/>
        </w:rPr>
        <w:t>CATT</w:t>
      </w:r>
    </w:p>
    <w:p w14:paraId="15486A2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R4-2509357</w:t>
      </w:r>
      <w:r>
        <w:rPr>
          <w:rFonts w:hint="eastAsia"/>
          <w:kern w:val="2"/>
          <w:sz w:val="21"/>
          <w:lang w:val="en-US" w:eastAsia="zh-CN"/>
        </w:rPr>
        <w:tab/>
      </w:r>
      <w:r>
        <w:rPr>
          <w:rFonts w:hint="eastAsia"/>
          <w:kern w:val="2"/>
          <w:sz w:val="21"/>
          <w:lang w:val="en-US" w:eastAsia="zh-CN"/>
        </w:rPr>
        <w:t>(NR_BS_RF_req_evo-Core)CR for TS 38.141-2, On conformance testing requirement for EEIRP for upper 6GHz</w:t>
      </w:r>
      <w:r>
        <w:rPr>
          <w:rFonts w:hint="eastAsia"/>
          <w:kern w:val="2"/>
          <w:sz w:val="21"/>
          <w:lang w:val="en-US" w:eastAsia="zh-CN"/>
        </w:rPr>
        <w:tab/>
      </w:r>
      <w:r>
        <w:rPr>
          <w:rFonts w:hint="eastAsia"/>
          <w:kern w:val="2"/>
          <w:sz w:val="21"/>
          <w:lang w:val="en-US" w:eastAsia="zh-CN"/>
        </w:rPr>
        <w:t>CATT</w:t>
      </w:r>
    </w:p>
    <w:p w14:paraId="14CE962D">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R4-2509994</w:t>
      </w:r>
      <w:r>
        <w:rPr>
          <w:rFonts w:hint="eastAsia"/>
          <w:kern w:val="2"/>
          <w:sz w:val="21"/>
          <w:lang w:val="en-US" w:eastAsia="zh-CN"/>
        </w:rPr>
        <w:tab/>
      </w:r>
      <w:r>
        <w:rPr>
          <w:rFonts w:hint="eastAsia"/>
          <w:kern w:val="2"/>
          <w:sz w:val="21"/>
          <w:lang w:val="en-US" w:eastAsia="zh-CN"/>
        </w:rPr>
        <w:t>Discussion on OTA test scope reduction</w:t>
      </w:r>
      <w:r>
        <w:rPr>
          <w:rFonts w:hint="eastAsia"/>
          <w:kern w:val="2"/>
          <w:sz w:val="21"/>
          <w:lang w:val="en-US" w:eastAsia="zh-CN"/>
        </w:rPr>
        <w:tab/>
      </w:r>
      <w:r>
        <w:rPr>
          <w:rFonts w:hint="eastAsia"/>
          <w:kern w:val="2"/>
          <w:sz w:val="21"/>
          <w:lang w:val="en-US" w:eastAsia="zh-CN"/>
        </w:rPr>
        <w:t>NEC</w:t>
      </w:r>
    </w:p>
    <w:p w14:paraId="6374A7FC">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R4-2509995</w:t>
      </w:r>
      <w:r>
        <w:rPr>
          <w:rFonts w:hint="eastAsia"/>
          <w:kern w:val="2"/>
          <w:sz w:val="21"/>
          <w:lang w:val="en-US" w:eastAsia="zh-CN"/>
        </w:rPr>
        <w:tab/>
      </w:r>
      <w:r>
        <w:rPr>
          <w:rFonts w:hint="eastAsia"/>
          <w:kern w:val="2"/>
          <w:sz w:val="21"/>
          <w:lang w:val="en-US" w:eastAsia="zh-CN"/>
        </w:rPr>
        <w:t>CR to 38.141-2: Correction on EEIRP calculation</w:t>
      </w:r>
      <w:r>
        <w:rPr>
          <w:rFonts w:hint="eastAsia"/>
          <w:kern w:val="2"/>
          <w:sz w:val="21"/>
          <w:lang w:val="en-US" w:eastAsia="zh-CN"/>
        </w:rPr>
        <w:tab/>
      </w:r>
      <w:r>
        <w:rPr>
          <w:rFonts w:hint="eastAsia"/>
          <w:kern w:val="2"/>
          <w:sz w:val="21"/>
          <w:lang w:val="en-US" w:eastAsia="zh-CN"/>
        </w:rPr>
        <w:t>NEC</w:t>
      </w:r>
    </w:p>
    <w:p w14:paraId="5BABB83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R4-2510213</w:t>
      </w:r>
      <w:r>
        <w:rPr>
          <w:rFonts w:hint="eastAsia"/>
          <w:kern w:val="2"/>
          <w:sz w:val="21"/>
          <w:lang w:val="en-US" w:eastAsia="zh-CN"/>
        </w:rPr>
        <w:tab/>
      </w:r>
      <w:r>
        <w:rPr>
          <w:rFonts w:hint="eastAsia"/>
          <w:kern w:val="2"/>
          <w:sz w:val="21"/>
          <w:lang w:val="en-US" w:eastAsia="zh-CN"/>
        </w:rPr>
        <w:t>On Transmitter Spurious Emission Co-existence discussion</w:t>
      </w:r>
      <w:r>
        <w:rPr>
          <w:rFonts w:hint="eastAsia"/>
          <w:kern w:val="2"/>
          <w:sz w:val="21"/>
          <w:lang w:val="en-US" w:eastAsia="zh-CN"/>
        </w:rPr>
        <w:tab/>
      </w:r>
      <w:r>
        <w:rPr>
          <w:rFonts w:hint="eastAsia"/>
          <w:kern w:val="2"/>
          <w:sz w:val="21"/>
          <w:lang w:val="en-US" w:eastAsia="zh-CN"/>
        </w:rPr>
        <w:t>Ericsson</w:t>
      </w:r>
    </w:p>
    <w:p w14:paraId="0935B328">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R4-2510214</w:t>
      </w:r>
      <w:r>
        <w:rPr>
          <w:rFonts w:hint="eastAsia"/>
          <w:kern w:val="2"/>
          <w:sz w:val="21"/>
          <w:lang w:val="en-US" w:eastAsia="zh-CN"/>
        </w:rPr>
        <w:tab/>
      </w:r>
      <w:r>
        <w:rPr>
          <w:rFonts w:hint="eastAsia"/>
          <w:kern w:val="2"/>
          <w:sz w:val="21"/>
          <w:lang w:val="en-US" w:eastAsia="zh-CN"/>
        </w:rPr>
        <w:t>On Transmitter Spurious Emission Co-existence BS conformance discussion</w:t>
      </w:r>
      <w:r>
        <w:rPr>
          <w:rFonts w:hint="eastAsia"/>
          <w:kern w:val="2"/>
          <w:sz w:val="21"/>
          <w:lang w:val="en-US" w:eastAsia="zh-CN"/>
        </w:rPr>
        <w:tab/>
      </w:r>
      <w:r>
        <w:rPr>
          <w:rFonts w:hint="eastAsia"/>
          <w:kern w:val="2"/>
          <w:sz w:val="21"/>
          <w:lang w:val="en-US" w:eastAsia="zh-CN"/>
        </w:rPr>
        <w:t>Ericsson</w:t>
      </w:r>
    </w:p>
    <w:p w14:paraId="1B633C7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R4-2510227</w:t>
      </w:r>
      <w:r>
        <w:rPr>
          <w:rFonts w:hint="eastAsia"/>
          <w:kern w:val="2"/>
          <w:sz w:val="21"/>
          <w:lang w:val="en-US" w:eastAsia="zh-CN"/>
        </w:rPr>
        <w:tab/>
      </w:r>
      <w:r>
        <w:rPr>
          <w:rFonts w:hint="eastAsia"/>
          <w:kern w:val="2"/>
          <w:sz w:val="21"/>
          <w:lang w:val="en-US" w:eastAsia="zh-CN"/>
        </w:rPr>
        <w:t>On improvements of co-location requirements</w:t>
      </w:r>
      <w:r>
        <w:rPr>
          <w:rFonts w:hint="eastAsia"/>
          <w:kern w:val="2"/>
          <w:sz w:val="21"/>
          <w:lang w:val="en-US" w:eastAsia="zh-CN"/>
        </w:rPr>
        <w:tab/>
      </w:r>
      <w:r>
        <w:rPr>
          <w:rFonts w:hint="eastAsia"/>
          <w:kern w:val="2"/>
          <w:sz w:val="21"/>
          <w:lang w:val="en-US" w:eastAsia="zh-CN"/>
        </w:rPr>
        <w:t>Ericsson</w:t>
      </w:r>
    </w:p>
    <w:p w14:paraId="7A1E4961">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R4-2510228</w:t>
      </w:r>
      <w:r>
        <w:rPr>
          <w:rFonts w:hint="eastAsia"/>
          <w:kern w:val="2"/>
          <w:sz w:val="21"/>
          <w:lang w:val="en-US" w:eastAsia="zh-CN"/>
        </w:rPr>
        <w:tab/>
      </w:r>
      <w:r>
        <w:rPr>
          <w:rFonts w:hint="eastAsia"/>
          <w:kern w:val="2"/>
          <w:sz w:val="21"/>
          <w:lang w:val="en-US" w:eastAsia="zh-CN"/>
        </w:rPr>
        <w:t>Draft CR to TR 37.941: Addition of technical background for enhancement of co-location requirements in clause 6.4</w:t>
      </w:r>
      <w:r>
        <w:rPr>
          <w:rFonts w:hint="eastAsia"/>
          <w:kern w:val="2"/>
          <w:sz w:val="21"/>
          <w:lang w:val="en-US" w:eastAsia="zh-CN"/>
        </w:rPr>
        <w:tab/>
      </w:r>
      <w:r>
        <w:rPr>
          <w:rFonts w:hint="eastAsia"/>
          <w:kern w:val="2"/>
          <w:sz w:val="21"/>
          <w:lang w:val="en-US" w:eastAsia="zh-CN"/>
        </w:rPr>
        <w:t>Ericsson</w:t>
      </w:r>
    </w:p>
    <w:p w14:paraId="703FE1B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R4-2510229</w:t>
      </w:r>
      <w:r>
        <w:rPr>
          <w:rFonts w:hint="eastAsia"/>
          <w:kern w:val="2"/>
          <w:sz w:val="21"/>
          <w:lang w:val="en-US" w:eastAsia="zh-CN"/>
        </w:rPr>
        <w:tab/>
      </w:r>
      <w:r>
        <w:rPr>
          <w:rFonts w:hint="eastAsia"/>
          <w:kern w:val="2"/>
          <w:sz w:val="21"/>
          <w:lang w:val="en-US" w:eastAsia="zh-CN"/>
        </w:rPr>
        <w:t>Discussion on BS RF evolution general aspects</w:t>
      </w:r>
      <w:r>
        <w:rPr>
          <w:rFonts w:hint="eastAsia"/>
          <w:kern w:val="2"/>
          <w:sz w:val="21"/>
          <w:lang w:val="en-US" w:eastAsia="zh-CN"/>
        </w:rPr>
        <w:tab/>
      </w:r>
      <w:r>
        <w:rPr>
          <w:rFonts w:hint="eastAsia"/>
          <w:kern w:val="2"/>
          <w:sz w:val="21"/>
          <w:lang w:val="en-US" w:eastAsia="zh-CN"/>
        </w:rPr>
        <w:t>Ericsson</w:t>
      </w:r>
    </w:p>
    <w:p w14:paraId="449F920C">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R4-2510233</w:t>
      </w:r>
      <w:r>
        <w:rPr>
          <w:rFonts w:hint="eastAsia"/>
          <w:kern w:val="2"/>
          <w:sz w:val="21"/>
          <w:lang w:val="en-US" w:eastAsia="zh-CN"/>
        </w:rPr>
        <w:tab/>
      </w:r>
      <w:r>
        <w:rPr>
          <w:rFonts w:hint="eastAsia"/>
          <w:kern w:val="2"/>
          <w:sz w:val="21"/>
          <w:lang w:val="en-US" w:eastAsia="zh-CN"/>
        </w:rPr>
        <w:t>On alternatives to current CLTA concept</w:t>
      </w:r>
      <w:r>
        <w:rPr>
          <w:rFonts w:hint="eastAsia"/>
          <w:kern w:val="2"/>
          <w:sz w:val="21"/>
          <w:lang w:val="en-US" w:eastAsia="zh-CN"/>
        </w:rPr>
        <w:tab/>
      </w:r>
      <w:r>
        <w:rPr>
          <w:rFonts w:hint="eastAsia"/>
          <w:kern w:val="2"/>
          <w:sz w:val="21"/>
          <w:lang w:val="en-US" w:eastAsia="zh-CN"/>
        </w:rPr>
        <w:t>Ericsson</w:t>
      </w:r>
    </w:p>
    <w:p w14:paraId="36C5218B">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R4-2510823</w:t>
      </w:r>
      <w:r>
        <w:rPr>
          <w:rFonts w:hint="eastAsia"/>
          <w:kern w:val="2"/>
          <w:sz w:val="21"/>
          <w:lang w:val="en-US" w:eastAsia="zh-CN"/>
        </w:rPr>
        <w:tab/>
      </w:r>
      <w:r>
        <w:rPr>
          <w:rFonts w:hint="eastAsia"/>
          <w:kern w:val="2"/>
          <w:sz w:val="21"/>
          <w:lang w:val="en-US" w:eastAsia="zh-CN"/>
        </w:rPr>
        <w:t>CR to TS 38.104: improvements related to Expected EIRP for band n104</w:t>
      </w:r>
      <w:r>
        <w:rPr>
          <w:rFonts w:hint="eastAsia"/>
          <w:kern w:val="2"/>
          <w:sz w:val="21"/>
          <w:lang w:val="en-US" w:eastAsia="zh-CN"/>
        </w:rPr>
        <w:tab/>
      </w:r>
      <w:r>
        <w:rPr>
          <w:rFonts w:hint="eastAsia"/>
          <w:kern w:val="2"/>
          <w:sz w:val="21"/>
          <w:lang w:val="en-US" w:eastAsia="zh-CN"/>
        </w:rPr>
        <w:t>Ericsson</w:t>
      </w:r>
    </w:p>
    <w:p w14:paraId="0B881859">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R4-2510824</w:t>
      </w:r>
      <w:r>
        <w:rPr>
          <w:rFonts w:hint="eastAsia"/>
          <w:kern w:val="2"/>
          <w:sz w:val="21"/>
          <w:lang w:val="en-US" w:eastAsia="zh-CN"/>
        </w:rPr>
        <w:tab/>
      </w:r>
      <w:r>
        <w:rPr>
          <w:rFonts w:hint="eastAsia"/>
          <w:kern w:val="2"/>
          <w:sz w:val="21"/>
          <w:lang w:val="en-US" w:eastAsia="zh-CN"/>
        </w:rPr>
        <w:t>CR to TS 38.141-2: improvements related to Expected EIRP for band n104</w:t>
      </w:r>
      <w:r>
        <w:rPr>
          <w:rFonts w:hint="eastAsia"/>
          <w:kern w:val="2"/>
          <w:sz w:val="21"/>
          <w:lang w:val="en-US" w:eastAsia="zh-CN"/>
        </w:rPr>
        <w:tab/>
      </w:r>
      <w:r>
        <w:rPr>
          <w:rFonts w:hint="eastAsia"/>
          <w:kern w:val="2"/>
          <w:sz w:val="21"/>
          <w:lang w:val="en-US" w:eastAsia="zh-CN"/>
        </w:rPr>
        <w:t>Ericsson</w:t>
      </w:r>
    </w:p>
    <w:p w14:paraId="661FE5CB">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R4-2510825</w:t>
      </w:r>
      <w:r>
        <w:rPr>
          <w:rFonts w:hint="eastAsia"/>
          <w:kern w:val="2"/>
          <w:sz w:val="21"/>
          <w:lang w:val="en-US" w:eastAsia="zh-CN"/>
        </w:rPr>
        <w:tab/>
      </w:r>
      <w:r>
        <w:rPr>
          <w:rFonts w:hint="eastAsia"/>
          <w:kern w:val="2"/>
          <w:sz w:val="21"/>
          <w:lang w:val="en-US" w:eastAsia="zh-CN"/>
        </w:rPr>
        <w:t>Discussion on Improvements for Annex I - TRP measurement procedures</w:t>
      </w:r>
      <w:r>
        <w:rPr>
          <w:rFonts w:hint="eastAsia"/>
          <w:kern w:val="2"/>
          <w:sz w:val="21"/>
          <w:lang w:val="en-US" w:eastAsia="zh-CN"/>
        </w:rPr>
        <w:tab/>
      </w:r>
      <w:r>
        <w:rPr>
          <w:rFonts w:hint="eastAsia"/>
          <w:kern w:val="2"/>
          <w:sz w:val="21"/>
          <w:lang w:val="en-US" w:eastAsia="zh-CN"/>
        </w:rPr>
        <w:t>Ericsson</w:t>
      </w:r>
    </w:p>
    <w:p w14:paraId="0486268A">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R4-2510826</w:t>
      </w:r>
      <w:r>
        <w:rPr>
          <w:rFonts w:hint="eastAsia"/>
          <w:kern w:val="2"/>
          <w:sz w:val="21"/>
          <w:lang w:val="en-US" w:eastAsia="zh-CN"/>
        </w:rPr>
        <w:tab/>
      </w:r>
      <w:r>
        <w:rPr>
          <w:rFonts w:hint="eastAsia"/>
          <w:kern w:val="2"/>
          <w:sz w:val="21"/>
          <w:lang w:val="en-US" w:eastAsia="zh-CN"/>
        </w:rPr>
        <w:t>CR to TS 38.141-2: Improvements on Annex I - TRP measurement procedures</w:t>
      </w:r>
      <w:r>
        <w:rPr>
          <w:rFonts w:hint="eastAsia"/>
          <w:kern w:val="2"/>
          <w:sz w:val="21"/>
          <w:lang w:val="en-US" w:eastAsia="zh-CN"/>
        </w:rPr>
        <w:tab/>
      </w:r>
      <w:r>
        <w:rPr>
          <w:rFonts w:hint="eastAsia"/>
          <w:kern w:val="2"/>
          <w:sz w:val="21"/>
          <w:lang w:val="en-US" w:eastAsia="zh-CN"/>
        </w:rPr>
        <w:t>Ericsson</w:t>
      </w:r>
    </w:p>
    <w:p w14:paraId="25529569">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R4-2510967</w:t>
      </w:r>
      <w:r>
        <w:rPr>
          <w:rFonts w:hint="eastAsia"/>
          <w:kern w:val="2"/>
          <w:sz w:val="21"/>
          <w:lang w:val="en-US" w:eastAsia="zh-CN"/>
        </w:rPr>
        <w:tab/>
      </w:r>
      <w:r>
        <w:rPr>
          <w:rFonts w:hint="eastAsia"/>
          <w:kern w:val="2"/>
          <w:sz w:val="21"/>
          <w:lang w:val="en-US" w:eastAsia="zh-CN"/>
        </w:rPr>
        <w:t>OTA test scope reduction</w:t>
      </w:r>
      <w:r>
        <w:rPr>
          <w:rFonts w:hint="eastAsia"/>
          <w:kern w:val="2"/>
          <w:sz w:val="21"/>
          <w:lang w:val="en-US" w:eastAsia="zh-CN"/>
        </w:rPr>
        <w:tab/>
      </w:r>
      <w:r>
        <w:rPr>
          <w:rFonts w:hint="eastAsia"/>
          <w:kern w:val="2"/>
          <w:sz w:val="21"/>
          <w:lang w:val="en-US" w:eastAsia="zh-CN"/>
        </w:rPr>
        <w:t>Ericsson</w:t>
      </w:r>
    </w:p>
    <w:p w14:paraId="6C21FE7E">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R4-2511132</w:t>
      </w:r>
      <w:r>
        <w:rPr>
          <w:rFonts w:hint="eastAsia"/>
          <w:kern w:val="2"/>
          <w:sz w:val="21"/>
          <w:lang w:val="en-US" w:eastAsia="zh-CN"/>
        </w:rPr>
        <w:tab/>
      </w:r>
      <w:r>
        <w:rPr>
          <w:rFonts w:hint="eastAsia"/>
          <w:kern w:val="2"/>
          <w:sz w:val="21"/>
          <w:lang w:val="en-US" w:eastAsia="zh-CN"/>
        </w:rPr>
        <w:t>Further discussion on OTA test enhancement</w:t>
      </w:r>
      <w:r>
        <w:rPr>
          <w:rFonts w:hint="eastAsia"/>
          <w:kern w:val="2"/>
          <w:sz w:val="21"/>
          <w:lang w:val="en-US" w:eastAsia="zh-CN"/>
        </w:rPr>
        <w:tab/>
      </w:r>
      <w:r>
        <w:rPr>
          <w:rFonts w:hint="eastAsia"/>
          <w:kern w:val="2"/>
          <w:sz w:val="21"/>
          <w:lang w:val="en-US" w:eastAsia="zh-CN"/>
        </w:rPr>
        <w:t>ZTE Corporation, Sanechips</w:t>
      </w:r>
    </w:p>
    <w:p w14:paraId="1E7C2F70">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R4-2511133</w:t>
      </w:r>
      <w:r>
        <w:rPr>
          <w:rFonts w:hint="eastAsia"/>
          <w:kern w:val="2"/>
          <w:sz w:val="21"/>
          <w:lang w:val="en-US" w:eastAsia="zh-CN"/>
        </w:rPr>
        <w:tab/>
      </w:r>
      <w:r>
        <w:rPr>
          <w:rFonts w:hint="eastAsia"/>
          <w:kern w:val="2"/>
          <w:sz w:val="21"/>
          <w:lang w:val="en-US" w:eastAsia="zh-CN"/>
        </w:rPr>
        <w:t>Draft CR to TR 37.941: Impact of BS-to-BS isolation analysis on the legacy co-location requirements</w:t>
      </w:r>
      <w:r>
        <w:rPr>
          <w:rFonts w:hint="eastAsia"/>
          <w:kern w:val="2"/>
          <w:sz w:val="21"/>
          <w:lang w:val="en-US" w:eastAsia="zh-CN"/>
        </w:rPr>
        <w:tab/>
      </w:r>
      <w:r>
        <w:rPr>
          <w:rFonts w:hint="eastAsia"/>
          <w:kern w:val="2"/>
          <w:sz w:val="21"/>
          <w:lang w:val="en-US" w:eastAsia="zh-CN"/>
        </w:rPr>
        <w:t>ZTE Corporation, Sanechips</w:t>
      </w:r>
    </w:p>
    <w:p w14:paraId="56D3E665">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R4-2511134</w:t>
      </w:r>
      <w:r>
        <w:rPr>
          <w:rFonts w:hint="eastAsia"/>
          <w:kern w:val="2"/>
          <w:sz w:val="21"/>
          <w:lang w:val="en-US" w:eastAsia="zh-CN"/>
        </w:rPr>
        <w:tab/>
      </w:r>
      <w:r>
        <w:rPr>
          <w:rFonts w:hint="eastAsia"/>
          <w:kern w:val="2"/>
          <w:sz w:val="21"/>
          <w:lang w:val="en-US" w:eastAsia="zh-CN"/>
        </w:rPr>
        <w:t>Further discussion on Coexistence spurious emission requirements</w:t>
      </w:r>
      <w:r>
        <w:rPr>
          <w:rFonts w:hint="eastAsia"/>
          <w:kern w:val="2"/>
          <w:sz w:val="21"/>
          <w:lang w:val="en-US" w:eastAsia="zh-CN"/>
        </w:rPr>
        <w:tab/>
      </w:r>
      <w:r>
        <w:rPr>
          <w:rFonts w:hint="eastAsia"/>
          <w:kern w:val="2"/>
          <w:sz w:val="21"/>
          <w:lang w:val="en-US" w:eastAsia="zh-CN"/>
        </w:rPr>
        <w:t>ZTE Corporation, Sanechips</w:t>
      </w:r>
    </w:p>
    <w:p w14:paraId="1A379F87">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R4-2511135</w:t>
      </w:r>
      <w:r>
        <w:rPr>
          <w:rFonts w:hint="eastAsia"/>
          <w:kern w:val="2"/>
          <w:sz w:val="21"/>
          <w:lang w:val="en-US" w:eastAsia="zh-CN"/>
        </w:rPr>
        <w:tab/>
      </w:r>
      <w:r>
        <w:rPr>
          <w:rFonts w:hint="eastAsia"/>
          <w:kern w:val="2"/>
          <w:sz w:val="21"/>
          <w:lang w:val="en-US" w:eastAsia="zh-CN"/>
        </w:rPr>
        <w:t>Discussion on the OTA testing scope reduction</w:t>
      </w:r>
      <w:r>
        <w:rPr>
          <w:rFonts w:hint="eastAsia"/>
          <w:kern w:val="2"/>
          <w:sz w:val="21"/>
          <w:lang w:val="en-US" w:eastAsia="zh-CN"/>
        </w:rPr>
        <w:tab/>
      </w:r>
      <w:r>
        <w:rPr>
          <w:rFonts w:hint="eastAsia"/>
          <w:kern w:val="2"/>
          <w:sz w:val="21"/>
          <w:lang w:val="en-US" w:eastAsia="zh-CN"/>
        </w:rPr>
        <w:t>ZTE Corporation, Sanechips</w:t>
      </w:r>
    </w:p>
    <w:p w14:paraId="759A053E">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R4-2511136</w:t>
      </w:r>
      <w:r>
        <w:rPr>
          <w:rFonts w:hint="eastAsia"/>
          <w:kern w:val="2"/>
          <w:sz w:val="21"/>
          <w:lang w:val="en-US" w:eastAsia="zh-CN"/>
        </w:rPr>
        <w:tab/>
      </w:r>
      <w:r>
        <w:rPr>
          <w:rFonts w:hint="eastAsia"/>
          <w:kern w:val="2"/>
          <w:sz w:val="21"/>
          <w:lang w:val="en-US" w:eastAsia="zh-CN"/>
        </w:rPr>
        <w:t>Discussion on the applicability improvement of TRP measurement</w:t>
      </w:r>
      <w:r>
        <w:rPr>
          <w:rFonts w:hint="eastAsia"/>
          <w:kern w:val="2"/>
          <w:sz w:val="21"/>
          <w:lang w:val="en-US" w:eastAsia="zh-CN"/>
        </w:rPr>
        <w:tab/>
      </w:r>
      <w:r>
        <w:rPr>
          <w:rFonts w:hint="eastAsia"/>
          <w:kern w:val="2"/>
          <w:sz w:val="21"/>
          <w:lang w:val="en-US" w:eastAsia="zh-CN"/>
        </w:rPr>
        <w:t>ZTE Corporation, Sanechips</w:t>
      </w:r>
    </w:p>
    <w:p w14:paraId="7B0B83E4">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R4-2511291</w:t>
      </w:r>
      <w:r>
        <w:rPr>
          <w:rFonts w:hint="eastAsia"/>
          <w:kern w:val="2"/>
          <w:sz w:val="21"/>
          <w:lang w:val="en-US" w:eastAsia="zh-CN"/>
        </w:rPr>
        <w:tab/>
      </w:r>
      <w:r>
        <w:rPr>
          <w:rFonts w:hint="eastAsia"/>
          <w:kern w:val="2"/>
          <w:sz w:val="21"/>
          <w:lang w:val="en-US" w:eastAsia="zh-CN"/>
        </w:rPr>
        <w:t>Draft CR to TS 38.141-2 correcction on step size and Averaging processes</w:t>
      </w:r>
      <w:r>
        <w:rPr>
          <w:rFonts w:hint="eastAsia"/>
          <w:kern w:val="2"/>
          <w:sz w:val="21"/>
          <w:lang w:val="en-US" w:eastAsia="zh-CN"/>
        </w:rPr>
        <w:tab/>
      </w:r>
      <w:r>
        <w:rPr>
          <w:rFonts w:hint="eastAsia"/>
          <w:kern w:val="2"/>
          <w:sz w:val="21"/>
          <w:lang w:val="en-US" w:eastAsia="zh-CN"/>
        </w:rPr>
        <w:t>Huawei, HiSilicon</w:t>
      </w:r>
    </w:p>
    <w:p w14:paraId="28296D3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R4-2511292</w:t>
      </w:r>
      <w:r>
        <w:rPr>
          <w:rFonts w:hint="eastAsia"/>
          <w:kern w:val="2"/>
          <w:sz w:val="21"/>
          <w:lang w:val="en-US" w:eastAsia="zh-CN"/>
        </w:rPr>
        <w:tab/>
      </w:r>
      <w:r>
        <w:rPr>
          <w:rFonts w:hint="eastAsia"/>
          <w:kern w:val="2"/>
          <w:sz w:val="21"/>
          <w:lang w:val="en-US" w:eastAsia="zh-CN"/>
        </w:rPr>
        <w:t>OTA test case reduction</w:t>
      </w:r>
      <w:r>
        <w:rPr>
          <w:rFonts w:hint="eastAsia"/>
          <w:kern w:val="2"/>
          <w:sz w:val="21"/>
          <w:lang w:val="en-US" w:eastAsia="zh-CN"/>
        </w:rPr>
        <w:tab/>
      </w:r>
      <w:r>
        <w:rPr>
          <w:rFonts w:hint="eastAsia"/>
          <w:kern w:val="2"/>
          <w:sz w:val="21"/>
          <w:lang w:val="en-US" w:eastAsia="zh-CN"/>
        </w:rPr>
        <w:t>Huawei, HiSilicon</w:t>
      </w:r>
    </w:p>
    <w:p w14:paraId="5A29DE91">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R4-2511293</w:t>
      </w:r>
      <w:r>
        <w:rPr>
          <w:rFonts w:hint="eastAsia"/>
          <w:kern w:val="2"/>
          <w:sz w:val="21"/>
          <w:lang w:val="en-US" w:eastAsia="zh-CN"/>
        </w:rPr>
        <w:tab/>
      </w:r>
      <w:r>
        <w:rPr>
          <w:rFonts w:hint="eastAsia"/>
          <w:kern w:val="2"/>
          <w:sz w:val="21"/>
          <w:lang w:val="en-US" w:eastAsia="zh-CN"/>
        </w:rPr>
        <w:t>Draft CR to TS 38.141-2 OTA test case reduction for TX IM requirement</w:t>
      </w:r>
      <w:r>
        <w:rPr>
          <w:rFonts w:hint="eastAsia"/>
          <w:kern w:val="2"/>
          <w:sz w:val="21"/>
          <w:lang w:val="en-US" w:eastAsia="zh-CN"/>
        </w:rPr>
        <w:tab/>
      </w:r>
      <w:r>
        <w:rPr>
          <w:rFonts w:hint="eastAsia"/>
          <w:kern w:val="2"/>
          <w:sz w:val="21"/>
          <w:lang w:val="en-US" w:eastAsia="zh-CN"/>
        </w:rPr>
        <w:t>Huawei, HiSilicon</w:t>
      </w:r>
    </w:p>
    <w:p w14:paraId="4D0F3C2B">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R4-2511449</w:t>
      </w:r>
      <w:r>
        <w:rPr>
          <w:rFonts w:hint="eastAsia"/>
          <w:kern w:val="2"/>
          <w:sz w:val="21"/>
          <w:lang w:val="en-US" w:eastAsia="zh-CN"/>
        </w:rPr>
        <w:tab/>
      </w:r>
      <w:r>
        <w:rPr>
          <w:rFonts w:hint="eastAsia"/>
          <w:kern w:val="2"/>
          <w:sz w:val="21"/>
          <w:lang w:val="en-US" w:eastAsia="zh-CN"/>
        </w:rPr>
        <w:t>Topic summary for [116][302] NR_BS_RF_Part1_E_EIRP</w:t>
      </w:r>
      <w:r>
        <w:rPr>
          <w:rFonts w:hint="eastAsia"/>
          <w:kern w:val="2"/>
          <w:sz w:val="21"/>
          <w:lang w:val="en-US" w:eastAsia="zh-CN"/>
        </w:rPr>
        <w:tab/>
      </w:r>
      <w:r>
        <w:rPr>
          <w:rFonts w:hint="eastAsia"/>
          <w:kern w:val="2"/>
          <w:sz w:val="21"/>
          <w:lang w:val="en-US" w:eastAsia="zh-CN"/>
        </w:rPr>
        <w:t>Moderator (ZTE)</w:t>
      </w:r>
    </w:p>
    <w:p w14:paraId="3C211F50">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R4-2511450</w:t>
      </w:r>
      <w:r>
        <w:rPr>
          <w:rFonts w:hint="eastAsia"/>
          <w:kern w:val="2"/>
          <w:sz w:val="21"/>
          <w:lang w:val="en-US" w:eastAsia="zh-CN"/>
        </w:rPr>
        <w:tab/>
      </w:r>
      <w:r>
        <w:rPr>
          <w:rFonts w:hint="eastAsia"/>
          <w:kern w:val="2"/>
          <w:sz w:val="21"/>
          <w:lang w:val="en-US" w:eastAsia="zh-CN"/>
        </w:rPr>
        <w:t>Topic summary for [116][303] NR_BS_RF_Part2_CLTA_SE</w:t>
      </w:r>
      <w:r>
        <w:rPr>
          <w:rFonts w:hint="eastAsia"/>
          <w:kern w:val="2"/>
          <w:sz w:val="21"/>
          <w:lang w:val="en-US" w:eastAsia="zh-CN"/>
        </w:rPr>
        <w:tab/>
      </w:r>
      <w:r>
        <w:rPr>
          <w:rFonts w:hint="eastAsia"/>
          <w:kern w:val="2"/>
          <w:sz w:val="21"/>
          <w:lang w:val="en-US" w:eastAsia="zh-CN"/>
        </w:rPr>
        <w:t>Moderator (Huawei)</w:t>
      </w:r>
    </w:p>
    <w:p w14:paraId="6490F706">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R4-2511451</w:t>
      </w:r>
      <w:r>
        <w:rPr>
          <w:rFonts w:hint="eastAsia"/>
          <w:kern w:val="2"/>
          <w:sz w:val="21"/>
          <w:lang w:val="en-US" w:eastAsia="zh-CN"/>
        </w:rPr>
        <w:tab/>
      </w:r>
      <w:r>
        <w:rPr>
          <w:rFonts w:hint="eastAsia"/>
          <w:kern w:val="2"/>
          <w:sz w:val="21"/>
          <w:lang w:val="en-US" w:eastAsia="zh-CN"/>
        </w:rPr>
        <w:t>Topic summary for [116][304] NR_BS_RF_Part3_OTA_TRP</w:t>
      </w:r>
      <w:r>
        <w:rPr>
          <w:rFonts w:hint="eastAsia"/>
          <w:kern w:val="2"/>
          <w:sz w:val="21"/>
          <w:lang w:val="en-US" w:eastAsia="zh-CN"/>
        </w:rPr>
        <w:tab/>
      </w:r>
      <w:r>
        <w:rPr>
          <w:rFonts w:hint="eastAsia"/>
          <w:kern w:val="2"/>
          <w:sz w:val="21"/>
          <w:lang w:val="en-US" w:eastAsia="zh-CN"/>
        </w:rPr>
        <w:t>Moderator (ZTE)</w:t>
      </w:r>
    </w:p>
    <w:p w14:paraId="323D4ED6">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R4-2511518</w:t>
      </w:r>
      <w:r>
        <w:rPr>
          <w:rFonts w:hint="eastAsia"/>
          <w:kern w:val="2"/>
          <w:sz w:val="21"/>
          <w:lang w:val="en-US" w:eastAsia="zh-CN"/>
        </w:rPr>
        <w:tab/>
      </w:r>
      <w:r>
        <w:rPr>
          <w:rFonts w:hint="eastAsia"/>
          <w:kern w:val="2"/>
          <w:sz w:val="21"/>
          <w:lang w:val="en-US" w:eastAsia="zh-CN"/>
        </w:rPr>
        <w:t>Discussion on BS OTA test reductions</w:t>
      </w:r>
      <w:r>
        <w:rPr>
          <w:rFonts w:hint="eastAsia"/>
          <w:kern w:val="2"/>
          <w:sz w:val="21"/>
          <w:lang w:val="en-US" w:eastAsia="zh-CN"/>
        </w:rPr>
        <w:tab/>
      </w:r>
      <w:r>
        <w:rPr>
          <w:rFonts w:hint="eastAsia"/>
          <w:kern w:val="2"/>
          <w:sz w:val="21"/>
          <w:lang w:val="en-US" w:eastAsia="zh-CN"/>
        </w:rPr>
        <w:t>Nokia</w:t>
      </w:r>
    </w:p>
    <w:p w14:paraId="1E399BF0">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R4-2511519</w:t>
      </w:r>
      <w:r>
        <w:rPr>
          <w:rFonts w:hint="eastAsia"/>
          <w:kern w:val="2"/>
          <w:sz w:val="21"/>
          <w:lang w:val="en-US" w:eastAsia="zh-CN"/>
        </w:rPr>
        <w:tab/>
      </w:r>
      <w:r>
        <w:rPr>
          <w:rFonts w:hint="eastAsia"/>
          <w:kern w:val="2"/>
          <w:sz w:val="21"/>
          <w:lang w:val="en-US" w:eastAsia="zh-CN"/>
        </w:rPr>
        <w:t>Draft CR to TS 38.141-2 OTA test reduction for out-of-band blocking requirement</w:t>
      </w:r>
      <w:r>
        <w:rPr>
          <w:rFonts w:hint="eastAsia"/>
          <w:kern w:val="2"/>
          <w:sz w:val="21"/>
          <w:lang w:val="en-US" w:eastAsia="zh-CN"/>
        </w:rPr>
        <w:tab/>
      </w:r>
      <w:r>
        <w:rPr>
          <w:rFonts w:hint="eastAsia"/>
          <w:kern w:val="2"/>
          <w:sz w:val="21"/>
          <w:lang w:val="en-US" w:eastAsia="zh-CN"/>
        </w:rPr>
        <w:t>Nokia</w:t>
      </w:r>
    </w:p>
    <w:p w14:paraId="7C3FBBAA">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R4-2511520</w:t>
      </w:r>
      <w:r>
        <w:rPr>
          <w:rFonts w:hint="eastAsia"/>
          <w:kern w:val="2"/>
          <w:sz w:val="21"/>
          <w:lang w:val="en-US" w:eastAsia="zh-CN"/>
        </w:rPr>
        <w:tab/>
      </w:r>
      <w:r>
        <w:rPr>
          <w:rFonts w:hint="eastAsia"/>
          <w:kern w:val="2"/>
          <w:sz w:val="21"/>
          <w:lang w:val="en-US" w:eastAsia="zh-CN"/>
        </w:rPr>
        <w:t>Draft CR to TS 38.141-2 OTA test reduction for transmitter intermodulation requirement</w:t>
      </w:r>
      <w:r>
        <w:rPr>
          <w:rFonts w:hint="eastAsia"/>
          <w:kern w:val="2"/>
          <w:sz w:val="21"/>
          <w:lang w:val="en-US" w:eastAsia="zh-CN"/>
        </w:rPr>
        <w:tab/>
      </w:r>
      <w:r>
        <w:rPr>
          <w:rFonts w:hint="eastAsia"/>
          <w:kern w:val="2"/>
          <w:sz w:val="21"/>
          <w:lang w:val="en-US" w:eastAsia="zh-CN"/>
        </w:rPr>
        <w:t>Nokia</w:t>
      </w:r>
    </w:p>
    <w:p w14:paraId="7D2FD89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R4-2511521</w:t>
      </w:r>
      <w:r>
        <w:rPr>
          <w:rFonts w:hint="eastAsia"/>
          <w:kern w:val="2"/>
          <w:sz w:val="21"/>
          <w:lang w:val="en-US" w:eastAsia="zh-CN"/>
        </w:rPr>
        <w:tab/>
      </w:r>
      <w:r>
        <w:rPr>
          <w:rFonts w:hint="eastAsia"/>
          <w:kern w:val="2"/>
          <w:sz w:val="21"/>
          <w:lang w:val="en-US" w:eastAsia="zh-CN"/>
        </w:rPr>
        <w:t>CR to TS 38.115-2 for introduction of expected EIRP mask conformance test for NCR</w:t>
      </w:r>
      <w:r>
        <w:rPr>
          <w:rFonts w:hint="eastAsia"/>
          <w:kern w:val="2"/>
          <w:sz w:val="21"/>
          <w:lang w:val="en-US" w:eastAsia="zh-CN"/>
        </w:rPr>
        <w:tab/>
      </w:r>
      <w:r>
        <w:rPr>
          <w:rFonts w:hint="eastAsia"/>
          <w:kern w:val="2"/>
          <w:sz w:val="21"/>
          <w:lang w:val="en-US" w:eastAsia="zh-CN"/>
        </w:rPr>
        <w:t>Nokia, ZTE, Ericsson, Huawei, Qualcomm</w:t>
      </w:r>
    </w:p>
    <w:p w14:paraId="691C648A">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R4-2511522</w:t>
      </w:r>
      <w:r>
        <w:rPr>
          <w:rFonts w:hint="eastAsia"/>
          <w:kern w:val="2"/>
          <w:sz w:val="21"/>
          <w:lang w:val="en-US" w:eastAsia="zh-CN"/>
        </w:rPr>
        <w:tab/>
      </w:r>
      <w:r>
        <w:rPr>
          <w:rFonts w:hint="eastAsia"/>
          <w:kern w:val="2"/>
          <w:sz w:val="21"/>
          <w:lang w:val="en-US" w:eastAsia="zh-CN"/>
        </w:rPr>
        <w:t>CR to TS 38.141-2 with improvements and corrections to EEIRP mask requirement</w:t>
      </w:r>
      <w:r>
        <w:rPr>
          <w:rFonts w:hint="eastAsia"/>
          <w:kern w:val="2"/>
          <w:sz w:val="21"/>
          <w:lang w:val="en-US" w:eastAsia="zh-CN"/>
        </w:rPr>
        <w:tab/>
      </w:r>
      <w:r>
        <w:rPr>
          <w:rFonts w:hint="eastAsia"/>
          <w:kern w:val="2"/>
          <w:sz w:val="21"/>
          <w:lang w:val="en-US" w:eastAsia="zh-CN"/>
        </w:rPr>
        <w:t>Nokia</w:t>
      </w:r>
    </w:p>
    <w:p w14:paraId="7BE9F36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R4-2511524</w:t>
      </w:r>
      <w:r>
        <w:rPr>
          <w:rFonts w:hint="eastAsia"/>
          <w:kern w:val="2"/>
          <w:sz w:val="21"/>
          <w:lang w:val="en-US" w:eastAsia="zh-CN"/>
        </w:rPr>
        <w:tab/>
      </w:r>
      <w:r>
        <w:rPr>
          <w:rFonts w:hint="eastAsia"/>
          <w:kern w:val="2"/>
          <w:sz w:val="21"/>
          <w:lang w:val="en-US" w:eastAsia="zh-CN"/>
        </w:rPr>
        <w:t>On OTA test enhancements</w:t>
      </w:r>
      <w:r>
        <w:rPr>
          <w:rFonts w:hint="eastAsia"/>
          <w:kern w:val="2"/>
          <w:sz w:val="21"/>
          <w:lang w:val="en-US" w:eastAsia="zh-CN"/>
        </w:rPr>
        <w:tab/>
      </w:r>
      <w:r>
        <w:rPr>
          <w:rFonts w:hint="eastAsia"/>
          <w:kern w:val="2"/>
          <w:sz w:val="21"/>
          <w:lang w:val="en-US" w:eastAsia="zh-CN"/>
        </w:rPr>
        <w:t>Nokia</w:t>
      </w:r>
    </w:p>
    <w:p w14:paraId="3EE48DE7">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R4-2511525</w:t>
      </w:r>
      <w:r>
        <w:rPr>
          <w:rFonts w:hint="eastAsia"/>
          <w:kern w:val="2"/>
          <w:sz w:val="21"/>
          <w:lang w:val="en-US" w:eastAsia="zh-CN"/>
        </w:rPr>
        <w:tab/>
      </w:r>
      <w:r>
        <w:rPr>
          <w:rFonts w:hint="eastAsia"/>
          <w:kern w:val="2"/>
          <w:sz w:val="21"/>
          <w:lang w:val="en-US" w:eastAsia="zh-CN"/>
        </w:rPr>
        <w:t>DraftCR to TR 37.941 on CLTA alternatives - wideband horn antenna</w:t>
      </w:r>
      <w:r>
        <w:rPr>
          <w:rFonts w:hint="eastAsia"/>
          <w:kern w:val="2"/>
          <w:sz w:val="21"/>
          <w:lang w:val="en-US" w:eastAsia="zh-CN"/>
        </w:rPr>
        <w:tab/>
      </w:r>
      <w:r>
        <w:rPr>
          <w:rFonts w:hint="eastAsia"/>
          <w:kern w:val="2"/>
          <w:sz w:val="21"/>
          <w:lang w:val="en-US" w:eastAsia="zh-CN"/>
        </w:rPr>
        <w:t>Nokia</w:t>
      </w:r>
    </w:p>
    <w:p w14:paraId="1F2EE265">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R4-2511551</w:t>
      </w:r>
      <w:r>
        <w:rPr>
          <w:rFonts w:hint="eastAsia"/>
          <w:kern w:val="2"/>
          <w:sz w:val="21"/>
          <w:lang w:val="en-US" w:eastAsia="zh-CN"/>
        </w:rPr>
        <w:tab/>
      </w:r>
      <w:r>
        <w:rPr>
          <w:rFonts w:hint="eastAsia"/>
          <w:kern w:val="2"/>
          <w:sz w:val="21"/>
          <w:lang w:val="en-US" w:eastAsia="zh-CN"/>
        </w:rPr>
        <w:t>Discussion towards conclusions on the Core objectives related to CLTA</w:t>
      </w:r>
      <w:r>
        <w:rPr>
          <w:rFonts w:hint="eastAsia"/>
          <w:kern w:val="2"/>
          <w:sz w:val="21"/>
          <w:lang w:val="en-US" w:eastAsia="zh-CN"/>
        </w:rPr>
        <w:tab/>
      </w:r>
      <w:r>
        <w:rPr>
          <w:rFonts w:hint="eastAsia"/>
          <w:kern w:val="2"/>
          <w:sz w:val="21"/>
          <w:lang w:val="en-US" w:eastAsia="zh-CN"/>
        </w:rPr>
        <w:t>Huawei, HiSilicon</w:t>
      </w:r>
    </w:p>
    <w:p w14:paraId="7309A660">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R4-2511552</w:t>
      </w:r>
      <w:r>
        <w:rPr>
          <w:rFonts w:hint="eastAsia"/>
          <w:kern w:val="2"/>
          <w:sz w:val="21"/>
          <w:lang w:val="en-US" w:eastAsia="zh-CN"/>
        </w:rPr>
        <w:tab/>
      </w:r>
      <w:r>
        <w:rPr>
          <w:rFonts w:hint="eastAsia"/>
          <w:kern w:val="2"/>
          <w:sz w:val="21"/>
          <w:lang w:val="en-US" w:eastAsia="zh-CN"/>
        </w:rPr>
        <w:t>Draft CR to TR 37.941: Background and motivation for CLTA alternatives discussion</w:t>
      </w:r>
      <w:r>
        <w:rPr>
          <w:rFonts w:hint="eastAsia"/>
          <w:kern w:val="2"/>
          <w:sz w:val="21"/>
          <w:lang w:val="en-US" w:eastAsia="zh-CN"/>
        </w:rPr>
        <w:tab/>
      </w:r>
      <w:r>
        <w:rPr>
          <w:rFonts w:hint="eastAsia"/>
          <w:kern w:val="2"/>
          <w:sz w:val="21"/>
          <w:lang w:val="en-US" w:eastAsia="zh-CN"/>
        </w:rPr>
        <w:t>Huawei, HiSilicon</w:t>
      </w:r>
    </w:p>
    <w:p w14:paraId="11DA2E48">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R4-2511553</w:t>
      </w:r>
      <w:r>
        <w:rPr>
          <w:rFonts w:hint="eastAsia"/>
          <w:kern w:val="2"/>
          <w:sz w:val="21"/>
          <w:lang w:val="en-US" w:eastAsia="zh-CN"/>
        </w:rPr>
        <w:tab/>
      </w:r>
      <w:r>
        <w:rPr>
          <w:rFonts w:hint="eastAsia"/>
          <w:kern w:val="2"/>
          <w:sz w:val="21"/>
          <w:lang w:val="en-US" w:eastAsia="zh-CN"/>
        </w:rPr>
        <w:t>Big CR to TR 37.941: Rel-19 CLTA-related agreements</w:t>
      </w:r>
      <w:r>
        <w:rPr>
          <w:rFonts w:hint="eastAsia"/>
          <w:kern w:val="2"/>
          <w:sz w:val="21"/>
          <w:lang w:val="en-US" w:eastAsia="zh-CN"/>
        </w:rPr>
        <w:tab/>
      </w:r>
      <w:r>
        <w:rPr>
          <w:rFonts w:hint="eastAsia"/>
          <w:kern w:val="2"/>
          <w:sz w:val="21"/>
          <w:lang w:val="en-US" w:eastAsia="zh-CN"/>
        </w:rPr>
        <w:t>Huawei, HiSilicon</w:t>
      </w:r>
    </w:p>
    <w:p w14:paraId="0A8998C7">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R4-2511554</w:t>
      </w:r>
      <w:r>
        <w:rPr>
          <w:rFonts w:hint="eastAsia"/>
          <w:kern w:val="2"/>
          <w:sz w:val="21"/>
          <w:lang w:val="en-US" w:eastAsia="zh-CN"/>
        </w:rPr>
        <w:tab/>
      </w:r>
      <w:r>
        <w:rPr>
          <w:rFonts w:hint="eastAsia"/>
          <w:kern w:val="2"/>
          <w:sz w:val="21"/>
          <w:lang w:val="en-US" w:eastAsia="zh-CN"/>
        </w:rPr>
        <w:t>Further discussion on Tx spurious emissions co-existence limits re-evaluation</w:t>
      </w:r>
      <w:r>
        <w:rPr>
          <w:rFonts w:hint="eastAsia"/>
          <w:kern w:val="2"/>
          <w:sz w:val="21"/>
          <w:lang w:val="en-US" w:eastAsia="zh-CN"/>
        </w:rPr>
        <w:tab/>
      </w:r>
      <w:r>
        <w:rPr>
          <w:rFonts w:hint="eastAsia"/>
          <w:kern w:val="2"/>
          <w:sz w:val="21"/>
          <w:lang w:val="en-US" w:eastAsia="zh-CN"/>
        </w:rPr>
        <w:t>Huawei, HiSilicon</w:t>
      </w:r>
    </w:p>
    <w:p w14:paraId="3F05145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R4-2511560</w:t>
      </w:r>
      <w:r>
        <w:rPr>
          <w:rFonts w:hint="eastAsia"/>
          <w:kern w:val="2"/>
          <w:sz w:val="21"/>
          <w:lang w:val="en-US" w:eastAsia="zh-CN"/>
        </w:rPr>
        <w:tab/>
      </w:r>
      <w:r>
        <w:rPr>
          <w:rFonts w:hint="eastAsia"/>
          <w:kern w:val="2"/>
          <w:sz w:val="21"/>
          <w:lang w:val="en-US" w:eastAsia="zh-CN"/>
        </w:rPr>
        <w:t>Further discussion on preferred OTA test methods</w:t>
      </w:r>
      <w:r>
        <w:rPr>
          <w:rFonts w:hint="eastAsia"/>
          <w:kern w:val="2"/>
          <w:sz w:val="21"/>
          <w:lang w:val="en-US" w:eastAsia="zh-CN"/>
        </w:rPr>
        <w:tab/>
      </w:r>
      <w:r>
        <w:rPr>
          <w:rFonts w:hint="eastAsia"/>
          <w:kern w:val="2"/>
          <w:sz w:val="21"/>
          <w:lang w:val="en-US" w:eastAsia="zh-CN"/>
        </w:rPr>
        <w:t>Huawei, HiSilicon</w:t>
      </w:r>
    </w:p>
    <w:p w14:paraId="762E9F14">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R4-2511561</w:t>
      </w:r>
      <w:r>
        <w:rPr>
          <w:rFonts w:hint="eastAsia"/>
          <w:kern w:val="2"/>
          <w:sz w:val="21"/>
          <w:lang w:val="en-US" w:eastAsia="zh-CN"/>
        </w:rPr>
        <w:tab/>
      </w:r>
      <w:r>
        <w:rPr>
          <w:rFonts w:hint="eastAsia"/>
          <w:kern w:val="2"/>
          <w:sz w:val="21"/>
          <w:lang w:val="en-US" w:eastAsia="zh-CN"/>
        </w:rPr>
        <w:t>Draft CR to TS 38.141-2: implementation of the preferred test method solution</w:t>
      </w:r>
      <w:r>
        <w:rPr>
          <w:rFonts w:hint="eastAsia"/>
          <w:kern w:val="2"/>
          <w:sz w:val="21"/>
          <w:lang w:val="en-US" w:eastAsia="zh-CN"/>
        </w:rPr>
        <w:tab/>
      </w:r>
      <w:r>
        <w:rPr>
          <w:rFonts w:hint="eastAsia"/>
          <w:kern w:val="2"/>
          <w:sz w:val="21"/>
          <w:lang w:val="en-US" w:eastAsia="zh-CN"/>
        </w:rPr>
        <w:t>Huawei, HiSilicon</w:t>
      </w:r>
    </w:p>
    <w:p w14:paraId="7DC7E31A">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R4-2511562</w:t>
      </w:r>
      <w:r>
        <w:rPr>
          <w:rFonts w:hint="eastAsia"/>
          <w:kern w:val="2"/>
          <w:sz w:val="21"/>
          <w:lang w:val="en-US" w:eastAsia="zh-CN"/>
        </w:rPr>
        <w:tab/>
      </w:r>
      <w:r>
        <w:rPr>
          <w:rFonts w:hint="eastAsia"/>
          <w:kern w:val="2"/>
          <w:sz w:val="21"/>
          <w:lang w:val="en-US" w:eastAsia="zh-CN"/>
        </w:rPr>
        <w:t>Draft CR to TS 37.145-2: implementation of the preferred test method solution</w:t>
      </w:r>
      <w:r>
        <w:rPr>
          <w:rFonts w:hint="eastAsia"/>
          <w:kern w:val="2"/>
          <w:sz w:val="21"/>
          <w:lang w:val="en-US" w:eastAsia="zh-CN"/>
        </w:rPr>
        <w:tab/>
      </w:r>
      <w:r>
        <w:rPr>
          <w:rFonts w:hint="eastAsia"/>
          <w:kern w:val="2"/>
          <w:sz w:val="21"/>
          <w:lang w:val="en-US" w:eastAsia="zh-CN"/>
        </w:rPr>
        <w:t>Huawei, HiSilicon</w:t>
      </w:r>
    </w:p>
    <w:p w14:paraId="2D3D0F7A">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R4-2511671</w:t>
      </w:r>
      <w:r>
        <w:rPr>
          <w:rFonts w:hint="eastAsia"/>
          <w:kern w:val="2"/>
          <w:sz w:val="21"/>
          <w:lang w:val="en-US" w:eastAsia="zh-CN"/>
        </w:rPr>
        <w:tab/>
      </w:r>
      <w:r>
        <w:rPr>
          <w:rFonts w:hint="eastAsia"/>
          <w:kern w:val="2"/>
          <w:sz w:val="21"/>
          <w:lang w:val="en-US" w:eastAsia="zh-CN"/>
        </w:rPr>
        <w:t>CR to TS 38.104: improvements related to Expected EIRP for band n104</w:t>
      </w:r>
      <w:r>
        <w:rPr>
          <w:rFonts w:hint="eastAsia"/>
          <w:kern w:val="2"/>
          <w:sz w:val="21"/>
          <w:lang w:val="en-US" w:eastAsia="zh-CN"/>
        </w:rPr>
        <w:tab/>
      </w:r>
      <w:r>
        <w:rPr>
          <w:rFonts w:hint="eastAsia"/>
          <w:kern w:val="2"/>
          <w:sz w:val="21"/>
          <w:lang w:val="en-US" w:eastAsia="zh-CN"/>
        </w:rPr>
        <w:t>Ericsson Inc.</w:t>
      </w:r>
    </w:p>
    <w:p w14:paraId="16D48BE7">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R4-2511672</w:t>
      </w:r>
      <w:r>
        <w:rPr>
          <w:rFonts w:hint="eastAsia"/>
          <w:kern w:val="2"/>
          <w:sz w:val="21"/>
          <w:lang w:val="en-US" w:eastAsia="zh-CN"/>
        </w:rPr>
        <w:tab/>
      </w:r>
      <w:r>
        <w:rPr>
          <w:rFonts w:hint="eastAsia"/>
          <w:kern w:val="2"/>
          <w:sz w:val="21"/>
          <w:lang w:val="en-US" w:eastAsia="zh-CN"/>
        </w:rPr>
        <w:t>CR to TS 38.141-2: improvements related to Expected EIRP for band n104</w:t>
      </w:r>
      <w:r>
        <w:rPr>
          <w:rFonts w:hint="eastAsia"/>
          <w:kern w:val="2"/>
          <w:sz w:val="21"/>
          <w:lang w:val="en-US" w:eastAsia="zh-CN"/>
        </w:rPr>
        <w:tab/>
      </w:r>
      <w:r>
        <w:rPr>
          <w:rFonts w:hint="eastAsia"/>
          <w:kern w:val="2"/>
          <w:sz w:val="21"/>
          <w:lang w:val="en-US" w:eastAsia="zh-CN"/>
        </w:rPr>
        <w:t>Ericsson Inc.</w:t>
      </w:r>
    </w:p>
    <w:p w14:paraId="7DA62D05">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R4-2511673</w:t>
      </w:r>
      <w:r>
        <w:rPr>
          <w:rFonts w:hint="eastAsia"/>
          <w:kern w:val="2"/>
          <w:sz w:val="21"/>
          <w:lang w:val="en-US" w:eastAsia="zh-CN"/>
        </w:rPr>
        <w:tab/>
      </w:r>
      <w:r>
        <w:rPr>
          <w:rFonts w:hint="eastAsia"/>
          <w:kern w:val="2"/>
          <w:sz w:val="21"/>
          <w:lang w:val="en-US" w:eastAsia="zh-CN"/>
        </w:rPr>
        <w:t>CR to TS 38.141-2: Improvements on Annex I - TRP measurement procedures</w:t>
      </w:r>
      <w:r>
        <w:rPr>
          <w:rFonts w:hint="eastAsia"/>
          <w:kern w:val="2"/>
          <w:sz w:val="21"/>
          <w:lang w:val="en-US" w:eastAsia="zh-CN"/>
        </w:rPr>
        <w:tab/>
      </w:r>
      <w:r>
        <w:rPr>
          <w:rFonts w:hint="eastAsia"/>
          <w:kern w:val="2"/>
          <w:sz w:val="21"/>
          <w:lang w:val="en-US" w:eastAsia="zh-CN"/>
        </w:rPr>
        <w:t>Ericsson Inc.</w:t>
      </w:r>
    </w:p>
    <w:p w14:paraId="75BDA453">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R4-2512572</w:t>
      </w:r>
      <w:r>
        <w:rPr>
          <w:rFonts w:hint="eastAsia"/>
          <w:kern w:val="2"/>
          <w:sz w:val="21"/>
          <w:lang w:val="en-US" w:eastAsia="zh-CN"/>
        </w:rPr>
        <w:tab/>
      </w:r>
      <w:r>
        <w:rPr>
          <w:rFonts w:hint="eastAsia"/>
          <w:kern w:val="2"/>
          <w:sz w:val="21"/>
          <w:lang w:val="en-US" w:eastAsia="zh-CN"/>
        </w:rPr>
        <w:t>CR to TS 38.115-2 for introduction of expected EIRP mask conformance test for NCR</w:t>
      </w:r>
      <w:r>
        <w:rPr>
          <w:rFonts w:hint="eastAsia"/>
          <w:kern w:val="2"/>
          <w:sz w:val="21"/>
          <w:lang w:val="en-US" w:eastAsia="zh-CN"/>
        </w:rPr>
        <w:tab/>
      </w:r>
      <w:r>
        <w:rPr>
          <w:rFonts w:hint="eastAsia"/>
          <w:kern w:val="2"/>
          <w:sz w:val="21"/>
          <w:lang w:val="en-US" w:eastAsia="zh-CN"/>
        </w:rPr>
        <w:t>Nokia, ZTE, Ericsson, Huawei, Qualcomm</w:t>
      </w:r>
    </w:p>
    <w:p w14:paraId="5EBEF84D">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R4-2512573</w:t>
      </w:r>
      <w:r>
        <w:rPr>
          <w:rFonts w:hint="eastAsia"/>
          <w:kern w:val="2"/>
          <w:sz w:val="21"/>
          <w:lang w:val="en-US" w:eastAsia="zh-CN"/>
        </w:rPr>
        <w:tab/>
      </w:r>
      <w:r>
        <w:rPr>
          <w:rFonts w:hint="eastAsia"/>
          <w:kern w:val="2"/>
          <w:sz w:val="21"/>
          <w:lang w:val="en-US" w:eastAsia="zh-CN"/>
        </w:rPr>
        <w:t>Draft CR to TR 37.941: Addition of technical background for enhancement of co-location requirements in clause 6.4</w:t>
      </w:r>
      <w:r>
        <w:rPr>
          <w:rFonts w:hint="eastAsia"/>
          <w:kern w:val="2"/>
          <w:sz w:val="21"/>
          <w:lang w:val="en-US" w:eastAsia="zh-CN"/>
        </w:rPr>
        <w:tab/>
      </w:r>
      <w:r>
        <w:rPr>
          <w:rFonts w:hint="eastAsia"/>
          <w:kern w:val="2"/>
          <w:sz w:val="21"/>
          <w:lang w:val="en-US" w:eastAsia="zh-CN"/>
        </w:rPr>
        <w:t>Ericsson</w:t>
      </w:r>
    </w:p>
    <w:p w14:paraId="0E0BDE54">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R4-2512574</w:t>
      </w:r>
      <w:r>
        <w:rPr>
          <w:rFonts w:hint="eastAsia"/>
          <w:kern w:val="2"/>
          <w:sz w:val="21"/>
          <w:lang w:val="en-US" w:eastAsia="zh-CN"/>
        </w:rPr>
        <w:tab/>
      </w:r>
      <w:r>
        <w:rPr>
          <w:rFonts w:hint="eastAsia"/>
          <w:kern w:val="2"/>
          <w:sz w:val="21"/>
          <w:lang w:val="en-US" w:eastAsia="zh-CN"/>
        </w:rPr>
        <w:t>Draft CR to TR 37.941: Impact of BS-to-BS isolation analysis on the legacy co-location requirements</w:t>
      </w:r>
      <w:r>
        <w:rPr>
          <w:rFonts w:hint="eastAsia"/>
          <w:kern w:val="2"/>
          <w:sz w:val="21"/>
          <w:lang w:val="en-US" w:eastAsia="zh-CN"/>
        </w:rPr>
        <w:tab/>
      </w:r>
      <w:r>
        <w:rPr>
          <w:rFonts w:hint="eastAsia"/>
          <w:kern w:val="2"/>
          <w:sz w:val="21"/>
          <w:lang w:val="en-US" w:eastAsia="zh-CN"/>
        </w:rPr>
        <w:t>ZTE Corporation, Sanechips, Ericsson</w:t>
      </w:r>
    </w:p>
    <w:p w14:paraId="72583A38">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R4-2512575</w:t>
      </w:r>
      <w:r>
        <w:rPr>
          <w:rFonts w:hint="eastAsia"/>
          <w:kern w:val="2"/>
          <w:sz w:val="21"/>
          <w:lang w:val="en-US" w:eastAsia="zh-CN"/>
        </w:rPr>
        <w:tab/>
      </w:r>
      <w:r>
        <w:rPr>
          <w:rFonts w:hint="eastAsia"/>
          <w:kern w:val="2"/>
          <w:sz w:val="21"/>
          <w:lang w:val="en-US" w:eastAsia="zh-CN"/>
        </w:rPr>
        <w:t>DraftCR to TR 37.941 on CLTA alternatives - wideband horn antenna</w:t>
      </w:r>
      <w:r>
        <w:rPr>
          <w:rFonts w:hint="eastAsia"/>
          <w:kern w:val="2"/>
          <w:sz w:val="21"/>
          <w:lang w:val="en-US" w:eastAsia="zh-CN"/>
        </w:rPr>
        <w:tab/>
      </w:r>
      <w:r>
        <w:rPr>
          <w:rFonts w:hint="eastAsia"/>
          <w:kern w:val="2"/>
          <w:sz w:val="21"/>
          <w:lang w:val="en-US" w:eastAsia="zh-CN"/>
        </w:rPr>
        <w:t>Nokia</w:t>
      </w:r>
    </w:p>
    <w:p w14:paraId="4A484A6D">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R4-2512576</w:t>
      </w:r>
      <w:r>
        <w:rPr>
          <w:rFonts w:hint="eastAsia"/>
          <w:kern w:val="2"/>
          <w:sz w:val="21"/>
          <w:lang w:val="en-US" w:eastAsia="zh-CN"/>
        </w:rPr>
        <w:tab/>
      </w:r>
      <w:r>
        <w:rPr>
          <w:rFonts w:hint="eastAsia"/>
          <w:kern w:val="2"/>
          <w:sz w:val="21"/>
          <w:lang w:val="en-US" w:eastAsia="zh-CN"/>
        </w:rPr>
        <w:t>Draft CR to TR 37.941: Background and motivation for CLTA alternatives discussion</w:t>
      </w:r>
      <w:r>
        <w:rPr>
          <w:rFonts w:hint="eastAsia"/>
          <w:kern w:val="2"/>
          <w:sz w:val="21"/>
          <w:lang w:val="en-US" w:eastAsia="zh-CN"/>
        </w:rPr>
        <w:tab/>
      </w:r>
      <w:r>
        <w:rPr>
          <w:rFonts w:hint="eastAsia"/>
          <w:kern w:val="2"/>
          <w:sz w:val="21"/>
          <w:lang w:val="en-US" w:eastAsia="zh-CN"/>
        </w:rPr>
        <w:t>Huawei, HiSilicon</w:t>
      </w:r>
    </w:p>
    <w:p w14:paraId="0A025CDD">
      <w:pPr>
        <w:widowControl w:val="0"/>
        <w:numPr>
          <w:ilvl w:val="0"/>
          <w:numId w:val="20"/>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R4-2512577</w:t>
      </w:r>
      <w:r>
        <w:rPr>
          <w:rFonts w:hint="eastAsia"/>
          <w:kern w:val="2"/>
          <w:sz w:val="21"/>
          <w:highlight w:val="none"/>
          <w:lang w:val="en-US" w:eastAsia="zh-CN"/>
        </w:rPr>
        <w:tab/>
      </w:r>
      <w:r>
        <w:rPr>
          <w:rFonts w:hint="eastAsia"/>
          <w:kern w:val="2"/>
          <w:sz w:val="21"/>
          <w:highlight w:val="none"/>
          <w:lang w:val="en-US" w:eastAsia="zh-CN"/>
        </w:rPr>
        <w:t>Way Forward for[116][303] NR_BS_RF_Part2_CLTA_SE (CLTA part)</w:t>
      </w:r>
      <w:r>
        <w:rPr>
          <w:rFonts w:hint="eastAsia"/>
          <w:kern w:val="2"/>
          <w:sz w:val="21"/>
          <w:highlight w:val="none"/>
          <w:lang w:val="en-US" w:eastAsia="zh-CN"/>
        </w:rPr>
        <w:tab/>
      </w:r>
      <w:r>
        <w:rPr>
          <w:rFonts w:hint="eastAsia"/>
          <w:kern w:val="2"/>
          <w:sz w:val="21"/>
          <w:highlight w:val="none"/>
          <w:lang w:val="en-US" w:eastAsia="zh-CN"/>
        </w:rPr>
        <w:t>Huawei</w:t>
      </w:r>
    </w:p>
    <w:p w14:paraId="6DE4EA56">
      <w:pPr>
        <w:widowControl w:val="0"/>
        <w:numPr>
          <w:ilvl w:val="0"/>
          <w:numId w:val="20"/>
        </w:numPr>
        <w:overflowPunct/>
        <w:autoSpaceDE/>
        <w:autoSpaceDN/>
        <w:adjustRightInd/>
        <w:spacing w:after="0"/>
        <w:ind w:left="425" w:hanging="357"/>
        <w:jc w:val="both"/>
        <w:textAlignment w:val="auto"/>
        <w:rPr>
          <w:rFonts w:hint="eastAsia"/>
          <w:kern w:val="2"/>
          <w:sz w:val="21"/>
          <w:highlight w:val="none"/>
          <w:lang w:val="en-US" w:eastAsia="zh-CN"/>
        </w:rPr>
      </w:pPr>
      <w:r>
        <w:rPr>
          <w:rFonts w:hint="eastAsia"/>
          <w:kern w:val="2"/>
          <w:sz w:val="21"/>
          <w:highlight w:val="none"/>
          <w:lang w:val="en-US" w:eastAsia="zh-CN"/>
        </w:rPr>
        <w:t>R4-2512578</w:t>
      </w:r>
      <w:r>
        <w:rPr>
          <w:rFonts w:hint="eastAsia"/>
          <w:kern w:val="2"/>
          <w:sz w:val="21"/>
          <w:highlight w:val="none"/>
          <w:lang w:val="en-US" w:eastAsia="zh-CN"/>
        </w:rPr>
        <w:tab/>
      </w:r>
      <w:r>
        <w:rPr>
          <w:rFonts w:hint="eastAsia"/>
          <w:kern w:val="2"/>
          <w:sz w:val="21"/>
          <w:highlight w:val="none"/>
          <w:lang w:val="en-US" w:eastAsia="zh-CN"/>
        </w:rPr>
        <w:t>Way Forward for [116][303] NR_BS_RF_Part2_CLTA_SE (SE part)</w:t>
      </w:r>
      <w:r>
        <w:rPr>
          <w:rFonts w:hint="eastAsia"/>
          <w:kern w:val="2"/>
          <w:sz w:val="21"/>
          <w:highlight w:val="none"/>
          <w:lang w:val="en-US" w:eastAsia="zh-CN"/>
        </w:rPr>
        <w:tab/>
      </w:r>
      <w:r>
        <w:rPr>
          <w:rFonts w:hint="eastAsia"/>
          <w:kern w:val="2"/>
          <w:sz w:val="21"/>
          <w:highlight w:val="none"/>
          <w:lang w:val="en-US" w:eastAsia="zh-CN"/>
        </w:rPr>
        <w:t>Huawei</w:t>
      </w:r>
    </w:p>
    <w:p w14:paraId="44AACC09">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R4-2512579</w:t>
      </w:r>
      <w:r>
        <w:rPr>
          <w:rFonts w:hint="eastAsia"/>
          <w:kern w:val="2"/>
          <w:sz w:val="21"/>
          <w:lang w:val="en-US" w:eastAsia="zh-CN"/>
        </w:rPr>
        <w:tab/>
      </w:r>
      <w:r>
        <w:rPr>
          <w:rFonts w:hint="eastAsia"/>
          <w:kern w:val="2"/>
          <w:sz w:val="21"/>
          <w:lang w:val="en-US" w:eastAsia="zh-CN"/>
        </w:rPr>
        <w:t>Draft CR to TS 38.141-2 OTA test reduction for out-of-band blocking requirement</w:t>
      </w:r>
      <w:r>
        <w:rPr>
          <w:rFonts w:hint="eastAsia"/>
          <w:kern w:val="2"/>
          <w:sz w:val="21"/>
          <w:lang w:val="en-US" w:eastAsia="zh-CN"/>
        </w:rPr>
        <w:tab/>
      </w:r>
      <w:r>
        <w:rPr>
          <w:rFonts w:hint="eastAsia"/>
          <w:kern w:val="2"/>
          <w:sz w:val="21"/>
          <w:lang w:val="en-US" w:eastAsia="zh-CN"/>
        </w:rPr>
        <w:t>Nokia</w:t>
      </w:r>
    </w:p>
    <w:p w14:paraId="2476C7A8">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R4-2512580</w:t>
      </w:r>
      <w:r>
        <w:rPr>
          <w:rFonts w:hint="eastAsia"/>
          <w:kern w:val="2"/>
          <w:sz w:val="21"/>
          <w:lang w:val="en-US" w:eastAsia="zh-CN"/>
        </w:rPr>
        <w:tab/>
      </w:r>
      <w:r>
        <w:rPr>
          <w:rFonts w:hint="eastAsia"/>
          <w:kern w:val="2"/>
          <w:sz w:val="21"/>
          <w:lang w:val="en-US" w:eastAsia="zh-CN"/>
        </w:rPr>
        <w:t>Way Forward for [116][304] NR_BS_RF_Part3_OTA_TRP</w:t>
      </w:r>
      <w:r>
        <w:rPr>
          <w:rFonts w:hint="eastAsia"/>
          <w:kern w:val="2"/>
          <w:sz w:val="21"/>
          <w:lang w:val="en-US" w:eastAsia="zh-CN"/>
        </w:rPr>
        <w:tab/>
      </w:r>
      <w:r>
        <w:rPr>
          <w:rFonts w:hint="eastAsia"/>
          <w:kern w:val="2"/>
          <w:sz w:val="21"/>
          <w:lang w:val="en-US" w:eastAsia="zh-CN"/>
        </w:rPr>
        <w:t>ZTE</w:t>
      </w:r>
    </w:p>
    <w:p w14:paraId="76044F2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R4-2512645</w:t>
      </w:r>
      <w:r>
        <w:rPr>
          <w:rFonts w:hint="eastAsia"/>
          <w:kern w:val="2"/>
          <w:sz w:val="21"/>
          <w:lang w:val="en-US" w:eastAsia="zh-CN"/>
        </w:rPr>
        <w:tab/>
      </w:r>
      <w:r>
        <w:rPr>
          <w:rFonts w:hint="eastAsia"/>
          <w:kern w:val="2"/>
          <w:sz w:val="21"/>
          <w:lang w:val="en-US" w:eastAsia="zh-CN"/>
        </w:rPr>
        <w:t>Way Forward for [116][332] IoT_NTN_Ph3_demod</w:t>
      </w:r>
      <w:r>
        <w:rPr>
          <w:rFonts w:hint="eastAsia"/>
          <w:kern w:val="2"/>
          <w:sz w:val="21"/>
          <w:lang w:val="en-US" w:eastAsia="zh-CN"/>
        </w:rPr>
        <w:tab/>
      </w:r>
      <w:r>
        <w:rPr>
          <w:rFonts w:hint="eastAsia"/>
          <w:kern w:val="2"/>
          <w:sz w:val="21"/>
          <w:lang w:val="en-US" w:eastAsia="zh-CN"/>
        </w:rPr>
        <w:t>ZTE</w:t>
      </w:r>
    </w:p>
    <w:p w14:paraId="69324B29">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R4-2512670</w:t>
      </w:r>
      <w:r>
        <w:rPr>
          <w:rFonts w:hint="eastAsia"/>
          <w:kern w:val="2"/>
          <w:sz w:val="21"/>
          <w:lang w:val="en-US" w:eastAsia="zh-CN"/>
        </w:rPr>
        <w:tab/>
      </w:r>
      <w:r>
        <w:rPr>
          <w:rFonts w:hint="eastAsia"/>
          <w:kern w:val="2"/>
          <w:sz w:val="21"/>
          <w:lang w:val="en-US" w:eastAsia="zh-CN"/>
        </w:rPr>
        <w:t>Big CR to TR 37.941: Rel-19 CLTA-related agreements</w:t>
      </w:r>
      <w:r>
        <w:rPr>
          <w:rFonts w:hint="eastAsia"/>
          <w:kern w:val="2"/>
          <w:sz w:val="21"/>
          <w:lang w:val="en-US" w:eastAsia="zh-CN"/>
        </w:rPr>
        <w:tab/>
      </w:r>
      <w:r>
        <w:rPr>
          <w:rFonts w:hint="eastAsia"/>
          <w:kern w:val="2"/>
          <w:sz w:val="21"/>
          <w:lang w:val="en-US" w:eastAsia="zh-CN"/>
        </w:rPr>
        <w:t>Huawei, HiSilicon</w:t>
      </w:r>
    </w:p>
    <w:p w14:paraId="6C71F49E">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R4-2512671</w:t>
      </w:r>
      <w:r>
        <w:rPr>
          <w:rFonts w:hint="eastAsia"/>
          <w:kern w:val="2"/>
          <w:sz w:val="21"/>
          <w:lang w:val="en-US" w:eastAsia="zh-CN"/>
        </w:rPr>
        <w:tab/>
      </w:r>
      <w:r>
        <w:rPr>
          <w:rFonts w:hint="eastAsia"/>
          <w:kern w:val="2"/>
          <w:sz w:val="21"/>
          <w:lang w:val="en-US" w:eastAsia="zh-CN"/>
        </w:rPr>
        <w:t>Draft CR to TS 38.141-2: implementation of the preferred test method solution</w:t>
      </w:r>
      <w:r>
        <w:rPr>
          <w:rFonts w:hint="eastAsia"/>
          <w:kern w:val="2"/>
          <w:sz w:val="21"/>
          <w:lang w:val="en-US" w:eastAsia="zh-CN"/>
        </w:rPr>
        <w:tab/>
      </w:r>
      <w:r>
        <w:rPr>
          <w:rFonts w:hint="eastAsia"/>
          <w:kern w:val="2"/>
          <w:sz w:val="21"/>
          <w:lang w:val="en-US" w:eastAsia="zh-CN"/>
        </w:rPr>
        <w:t>Huawei, HiSilicon</w:t>
      </w:r>
    </w:p>
    <w:p w14:paraId="19FF2451">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R4-2512672</w:t>
      </w:r>
      <w:r>
        <w:rPr>
          <w:rFonts w:hint="eastAsia"/>
          <w:kern w:val="2"/>
          <w:sz w:val="21"/>
          <w:lang w:val="en-US" w:eastAsia="zh-CN"/>
        </w:rPr>
        <w:tab/>
      </w:r>
      <w:r>
        <w:rPr>
          <w:rFonts w:hint="eastAsia"/>
          <w:kern w:val="2"/>
          <w:sz w:val="21"/>
          <w:lang w:val="en-US" w:eastAsia="zh-CN"/>
        </w:rPr>
        <w:t>Draft CR to TS 37.145-2: implementation of the preferred test method solution</w:t>
      </w:r>
      <w:r>
        <w:rPr>
          <w:rFonts w:hint="eastAsia"/>
          <w:kern w:val="2"/>
          <w:sz w:val="21"/>
          <w:lang w:val="en-US" w:eastAsia="zh-CN"/>
        </w:rPr>
        <w:tab/>
      </w:r>
      <w:r>
        <w:rPr>
          <w:rFonts w:hint="eastAsia"/>
          <w:kern w:val="2"/>
          <w:sz w:val="21"/>
          <w:lang w:val="en-US" w:eastAsia="zh-CN"/>
        </w:rPr>
        <w:t>Huawei, HiSilicon</w:t>
      </w:r>
    </w:p>
    <w:p w14:paraId="32B9063D">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R4-2512694</w:t>
      </w:r>
      <w:r>
        <w:rPr>
          <w:rFonts w:hint="eastAsia"/>
          <w:kern w:val="2"/>
          <w:sz w:val="21"/>
          <w:lang w:val="en-US" w:eastAsia="zh-CN"/>
        </w:rPr>
        <w:tab/>
      </w:r>
      <w:r>
        <w:rPr>
          <w:rFonts w:hint="eastAsia"/>
          <w:kern w:val="2"/>
          <w:sz w:val="21"/>
          <w:lang w:val="en-US" w:eastAsia="zh-CN"/>
        </w:rPr>
        <w:t>CR to TS 38.115-2 for introduction of expected EIRP mask conformance test for NCR</w:t>
      </w:r>
      <w:r>
        <w:rPr>
          <w:rFonts w:hint="eastAsia"/>
          <w:kern w:val="2"/>
          <w:sz w:val="21"/>
          <w:lang w:val="en-US" w:eastAsia="zh-CN"/>
        </w:rPr>
        <w:tab/>
      </w:r>
      <w:r>
        <w:rPr>
          <w:rFonts w:hint="eastAsia"/>
          <w:kern w:val="2"/>
          <w:sz w:val="21"/>
          <w:lang w:val="en-US" w:eastAsia="zh-CN"/>
        </w:rPr>
        <w:t>Nokia, ZTE, Ericsson, Huawei, Qualcomm</w:t>
      </w:r>
    </w:p>
    <w:sectPr>
      <w:headerReference r:id="rId4" w:type="default"/>
      <w:footerReference r:id="rId5"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DA18">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208B9">
    <w:pPr>
      <w:pStyle w:val="40"/>
    </w:pPr>
    <w:r>
      <w:t>ver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556C586"/>
    <w:multiLevelType w:val="multilevel"/>
    <w:tmpl w:val="A556C5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BDF2C98F"/>
    <w:multiLevelType w:val="singleLevel"/>
    <w:tmpl w:val="BDF2C98F"/>
    <w:lvl w:ilvl="0" w:tentative="0">
      <w:start w:val="1"/>
      <w:numFmt w:val="decimal"/>
      <w:pStyle w:val="180"/>
      <w:suff w:val="space"/>
      <w:lvlText w:val="[%1]"/>
      <w:lvlJc w:val="left"/>
      <w:pPr>
        <w:ind w:left="643" w:hanging="443"/>
      </w:pPr>
    </w:lvl>
  </w:abstractNum>
  <w:abstractNum w:abstractNumId="3">
    <w:nsid w:val="07AE4BED"/>
    <w:multiLevelType w:val="multilevel"/>
    <w:tmpl w:val="07AE4BE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A271914"/>
    <w:multiLevelType w:val="multilevel"/>
    <w:tmpl w:val="0A271914"/>
    <w:lvl w:ilvl="0" w:tentative="0">
      <w:start w:val="0"/>
      <w:numFmt w:val="bullet"/>
      <w:lvlText w:val="-"/>
      <w:lvlJc w:val="left"/>
      <w:pPr>
        <w:ind w:left="1440" w:hanging="360"/>
      </w:pPr>
      <w:rPr>
        <w:rFonts w:hint="default" w:ascii="Times New Roman" w:hAnsi="Times New Roman" w:eastAsia="宋体"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7">
    <w:nsid w:val="2DC0541A"/>
    <w:multiLevelType w:val="multilevel"/>
    <w:tmpl w:val="2DC0541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10">
    <w:nsid w:val="39117761"/>
    <w:multiLevelType w:val="multilevel"/>
    <w:tmpl w:val="3911776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lowerLetter"/>
      <w:lvlText w:val="%3)"/>
      <w:lvlJc w:val="left"/>
      <w:pPr>
        <w:ind w:left="2376" w:hanging="360"/>
      </w:pPr>
      <w:rPr>
        <w:rFonts w:hint="default"/>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5B3017E3"/>
    <w:multiLevelType w:val="multilevel"/>
    <w:tmpl w:val="5B3017E3"/>
    <w:lvl w:ilvl="0" w:tentative="0">
      <w:start w:val="0"/>
      <w:numFmt w:val="bullet"/>
      <w:lvlText w:val="-"/>
      <w:lvlJc w:val="left"/>
      <w:pPr>
        <w:ind w:left="1440" w:hanging="360"/>
      </w:pPr>
      <w:rPr>
        <w:rFonts w:hint="default" w:ascii="Times New Roman" w:hAnsi="Times New Roman" w:eastAsia="宋体"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5D177F5E"/>
    <w:multiLevelType w:val="multilevel"/>
    <w:tmpl w:val="5D177F5E"/>
    <w:lvl w:ilvl="0" w:tentative="0">
      <w:start w:val="1"/>
      <w:numFmt w:val="decimal"/>
      <w:pStyle w:val="2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5">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17">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6"/>
  </w:num>
  <w:num w:numId="3">
    <w:abstractNumId w:val="19"/>
  </w:num>
  <w:num w:numId="4">
    <w:abstractNumId w:val="6"/>
  </w:num>
  <w:num w:numId="5">
    <w:abstractNumId w:val="2"/>
  </w:num>
  <w:num w:numId="6">
    <w:abstractNumId w:val="18"/>
  </w:num>
  <w:num w:numId="7">
    <w:abstractNumId w:val="15"/>
  </w:num>
  <w:num w:numId="8">
    <w:abstractNumId w:val="8"/>
  </w:num>
  <w:num w:numId="9">
    <w:abstractNumId w:val="17"/>
  </w:num>
  <w:num w:numId="10">
    <w:abstractNumId w:val="11"/>
  </w:num>
  <w:num w:numId="11">
    <w:abstractNumId w:val="0"/>
  </w:num>
  <w:num w:numId="12">
    <w:abstractNumId w:val="14"/>
  </w:num>
  <w:num w:numId="13">
    <w:abstractNumId w:val="5"/>
  </w:num>
  <w:num w:numId="14">
    <w:abstractNumId w:val="7"/>
  </w:num>
  <w:num w:numId="15">
    <w:abstractNumId w:val="3"/>
  </w:num>
  <w:num w:numId="16">
    <w:abstractNumId w:val="13"/>
  </w:num>
  <w:num w:numId="17">
    <w:abstractNumId w:val="4"/>
  </w:num>
  <w:num w:numId="18">
    <w:abstractNumId w:val="12"/>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4ED"/>
    <w:rsid w:val="00007BD0"/>
    <w:rsid w:val="00007C2F"/>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8725E"/>
    <w:rsid w:val="000910BB"/>
    <w:rsid w:val="0009177C"/>
    <w:rsid w:val="000920C0"/>
    <w:rsid w:val="000926AF"/>
    <w:rsid w:val="00092C13"/>
    <w:rsid w:val="000962D3"/>
    <w:rsid w:val="00096742"/>
    <w:rsid w:val="00096E44"/>
    <w:rsid w:val="00097D87"/>
    <w:rsid w:val="000A20E4"/>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0F0"/>
    <w:rsid w:val="0010324E"/>
    <w:rsid w:val="00104A21"/>
    <w:rsid w:val="00106530"/>
    <w:rsid w:val="00107B0A"/>
    <w:rsid w:val="00115408"/>
    <w:rsid w:val="00116F4B"/>
    <w:rsid w:val="0011731D"/>
    <w:rsid w:val="001220E7"/>
    <w:rsid w:val="001221DE"/>
    <w:rsid w:val="001229F4"/>
    <w:rsid w:val="00123722"/>
    <w:rsid w:val="00124F98"/>
    <w:rsid w:val="001343FD"/>
    <w:rsid w:val="00137471"/>
    <w:rsid w:val="00142DF3"/>
    <w:rsid w:val="00144C8B"/>
    <w:rsid w:val="0015001D"/>
    <w:rsid w:val="00150FD3"/>
    <w:rsid w:val="001559D2"/>
    <w:rsid w:val="00156AA7"/>
    <w:rsid w:val="00156D57"/>
    <w:rsid w:val="001631DF"/>
    <w:rsid w:val="001677C9"/>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0260"/>
    <w:rsid w:val="001D1912"/>
    <w:rsid w:val="001D2C1A"/>
    <w:rsid w:val="001D3BA2"/>
    <w:rsid w:val="001D44B7"/>
    <w:rsid w:val="001D57BA"/>
    <w:rsid w:val="001D5F04"/>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4E8A"/>
    <w:rsid w:val="00216FA2"/>
    <w:rsid w:val="002247A2"/>
    <w:rsid w:val="0022485E"/>
    <w:rsid w:val="002320DA"/>
    <w:rsid w:val="00235D63"/>
    <w:rsid w:val="0023625F"/>
    <w:rsid w:val="00236F8E"/>
    <w:rsid w:val="00240687"/>
    <w:rsid w:val="00241D1F"/>
    <w:rsid w:val="00243A99"/>
    <w:rsid w:val="002516E4"/>
    <w:rsid w:val="00252991"/>
    <w:rsid w:val="00254A78"/>
    <w:rsid w:val="002573FF"/>
    <w:rsid w:val="00262B8C"/>
    <w:rsid w:val="00270B29"/>
    <w:rsid w:val="002731F5"/>
    <w:rsid w:val="00283C3C"/>
    <w:rsid w:val="00290335"/>
    <w:rsid w:val="002907DE"/>
    <w:rsid w:val="00293205"/>
    <w:rsid w:val="00293ECB"/>
    <w:rsid w:val="00294AA6"/>
    <w:rsid w:val="0029567C"/>
    <w:rsid w:val="00297087"/>
    <w:rsid w:val="002A19E2"/>
    <w:rsid w:val="002A4BDF"/>
    <w:rsid w:val="002B4C70"/>
    <w:rsid w:val="002C0B82"/>
    <w:rsid w:val="002C2408"/>
    <w:rsid w:val="002D10FB"/>
    <w:rsid w:val="002D1C9B"/>
    <w:rsid w:val="002D1D1E"/>
    <w:rsid w:val="002D381F"/>
    <w:rsid w:val="002D3962"/>
    <w:rsid w:val="002D4013"/>
    <w:rsid w:val="002D4E78"/>
    <w:rsid w:val="002D4E84"/>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4EE0"/>
    <w:rsid w:val="00396252"/>
    <w:rsid w:val="003977E1"/>
    <w:rsid w:val="003A3999"/>
    <w:rsid w:val="003A4B47"/>
    <w:rsid w:val="003A7ADB"/>
    <w:rsid w:val="003B24AF"/>
    <w:rsid w:val="003B302D"/>
    <w:rsid w:val="003B5154"/>
    <w:rsid w:val="003B7182"/>
    <w:rsid w:val="003C2CFE"/>
    <w:rsid w:val="003C342C"/>
    <w:rsid w:val="003C770D"/>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3DEF"/>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1B7"/>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1FD"/>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5706"/>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1775"/>
    <w:rsid w:val="005A3957"/>
    <w:rsid w:val="005A6C96"/>
    <w:rsid w:val="005B032E"/>
    <w:rsid w:val="005C01A4"/>
    <w:rsid w:val="005C3C37"/>
    <w:rsid w:val="005C6156"/>
    <w:rsid w:val="005D0418"/>
    <w:rsid w:val="005D2D5C"/>
    <w:rsid w:val="005D3072"/>
    <w:rsid w:val="005D5101"/>
    <w:rsid w:val="005D7F35"/>
    <w:rsid w:val="005E1D58"/>
    <w:rsid w:val="005E23B5"/>
    <w:rsid w:val="005E3059"/>
    <w:rsid w:val="005F0B7E"/>
    <w:rsid w:val="006019E7"/>
    <w:rsid w:val="00602315"/>
    <w:rsid w:val="00610E37"/>
    <w:rsid w:val="00611039"/>
    <w:rsid w:val="00611C9A"/>
    <w:rsid w:val="006129BF"/>
    <w:rsid w:val="00616990"/>
    <w:rsid w:val="00616D07"/>
    <w:rsid w:val="006207ED"/>
    <w:rsid w:val="00621618"/>
    <w:rsid w:val="00626BC9"/>
    <w:rsid w:val="0063728F"/>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609"/>
    <w:rsid w:val="006B4C1E"/>
    <w:rsid w:val="006B60E8"/>
    <w:rsid w:val="006B6E36"/>
    <w:rsid w:val="006B6E3C"/>
    <w:rsid w:val="006C090F"/>
    <w:rsid w:val="006C4E32"/>
    <w:rsid w:val="006C56D8"/>
    <w:rsid w:val="006C78DB"/>
    <w:rsid w:val="006D07AE"/>
    <w:rsid w:val="006D1B07"/>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0A89"/>
    <w:rsid w:val="00751DFF"/>
    <w:rsid w:val="00755625"/>
    <w:rsid w:val="0075703F"/>
    <w:rsid w:val="00757CD6"/>
    <w:rsid w:val="007645B5"/>
    <w:rsid w:val="007660CD"/>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D68FE"/>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4D20"/>
    <w:rsid w:val="008556A8"/>
    <w:rsid w:val="00855A55"/>
    <w:rsid w:val="0085677C"/>
    <w:rsid w:val="00864202"/>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F66AB"/>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0345"/>
    <w:rsid w:val="00964355"/>
    <w:rsid w:val="00965296"/>
    <w:rsid w:val="009725BC"/>
    <w:rsid w:val="00973C19"/>
    <w:rsid w:val="00977F8D"/>
    <w:rsid w:val="00981028"/>
    <w:rsid w:val="00982F11"/>
    <w:rsid w:val="00984B17"/>
    <w:rsid w:val="00985654"/>
    <w:rsid w:val="00990BCD"/>
    <w:rsid w:val="0099325D"/>
    <w:rsid w:val="00995338"/>
    <w:rsid w:val="0099668F"/>
    <w:rsid w:val="00996777"/>
    <w:rsid w:val="00997386"/>
    <w:rsid w:val="009A0FD2"/>
    <w:rsid w:val="009A7B27"/>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51E"/>
    <w:rsid w:val="009F0747"/>
    <w:rsid w:val="00A03514"/>
    <w:rsid w:val="00A07312"/>
    <w:rsid w:val="00A10F5D"/>
    <w:rsid w:val="00A142DC"/>
    <w:rsid w:val="00A17079"/>
    <w:rsid w:val="00A218FA"/>
    <w:rsid w:val="00A23297"/>
    <w:rsid w:val="00A235A3"/>
    <w:rsid w:val="00A24852"/>
    <w:rsid w:val="00A27EC9"/>
    <w:rsid w:val="00A30A78"/>
    <w:rsid w:val="00A350DE"/>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C79A6"/>
    <w:rsid w:val="00AD24CB"/>
    <w:rsid w:val="00AD4D27"/>
    <w:rsid w:val="00AD51D1"/>
    <w:rsid w:val="00AD53C7"/>
    <w:rsid w:val="00AD7ADC"/>
    <w:rsid w:val="00AE08EB"/>
    <w:rsid w:val="00AE08F2"/>
    <w:rsid w:val="00AE18EC"/>
    <w:rsid w:val="00AE2651"/>
    <w:rsid w:val="00AE30C4"/>
    <w:rsid w:val="00AE3D69"/>
    <w:rsid w:val="00AE3FB4"/>
    <w:rsid w:val="00AE5DCC"/>
    <w:rsid w:val="00AF3414"/>
    <w:rsid w:val="00AF50F6"/>
    <w:rsid w:val="00AF613A"/>
    <w:rsid w:val="00B00BBE"/>
    <w:rsid w:val="00B04115"/>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39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75C3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2CF8"/>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0A33"/>
    <w:rsid w:val="00C6282A"/>
    <w:rsid w:val="00C74DAF"/>
    <w:rsid w:val="00C760E3"/>
    <w:rsid w:val="00C80116"/>
    <w:rsid w:val="00C823DB"/>
    <w:rsid w:val="00C83128"/>
    <w:rsid w:val="00C86711"/>
    <w:rsid w:val="00C87BFC"/>
    <w:rsid w:val="00C90B94"/>
    <w:rsid w:val="00CA35AB"/>
    <w:rsid w:val="00CA3657"/>
    <w:rsid w:val="00CA50EF"/>
    <w:rsid w:val="00CB1011"/>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0BF8"/>
    <w:rsid w:val="00D11E2A"/>
    <w:rsid w:val="00D160C1"/>
    <w:rsid w:val="00D16A2E"/>
    <w:rsid w:val="00D16D72"/>
    <w:rsid w:val="00D17794"/>
    <w:rsid w:val="00D21C50"/>
    <w:rsid w:val="00D22398"/>
    <w:rsid w:val="00D24E4B"/>
    <w:rsid w:val="00D30BDD"/>
    <w:rsid w:val="00D35E6C"/>
    <w:rsid w:val="00D42D70"/>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2607"/>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05FA9"/>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15B8"/>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B1686"/>
    <w:rsid w:val="00FB68AE"/>
    <w:rsid w:val="00FC2F45"/>
    <w:rsid w:val="00FC345B"/>
    <w:rsid w:val="00FC35AC"/>
    <w:rsid w:val="00FC4237"/>
    <w:rsid w:val="00FD4E37"/>
    <w:rsid w:val="00FD5647"/>
    <w:rsid w:val="00FE131F"/>
    <w:rsid w:val="00FE51EC"/>
    <w:rsid w:val="00FF1FDC"/>
    <w:rsid w:val="00FF6CEE"/>
    <w:rsid w:val="01181E79"/>
    <w:rsid w:val="0133515C"/>
    <w:rsid w:val="016A6360"/>
    <w:rsid w:val="01964270"/>
    <w:rsid w:val="021C5350"/>
    <w:rsid w:val="024B505A"/>
    <w:rsid w:val="026F26FD"/>
    <w:rsid w:val="0285401A"/>
    <w:rsid w:val="02CA5022"/>
    <w:rsid w:val="02D84414"/>
    <w:rsid w:val="02E84657"/>
    <w:rsid w:val="031F347D"/>
    <w:rsid w:val="036D4EC2"/>
    <w:rsid w:val="037554BB"/>
    <w:rsid w:val="03B0401B"/>
    <w:rsid w:val="03C661BF"/>
    <w:rsid w:val="0406548E"/>
    <w:rsid w:val="04210D5B"/>
    <w:rsid w:val="04C156A8"/>
    <w:rsid w:val="04CA256A"/>
    <w:rsid w:val="04EE14A4"/>
    <w:rsid w:val="04F80E99"/>
    <w:rsid w:val="05136AB0"/>
    <w:rsid w:val="05147822"/>
    <w:rsid w:val="05243941"/>
    <w:rsid w:val="05490FE9"/>
    <w:rsid w:val="05815F05"/>
    <w:rsid w:val="059B1B24"/>
    <w:rsid w:val="05ED01D7"/>
    <w:rsid w:val="05FE3860"/>
    <w:rsid w:val="062D7C32"/>
    <w:rsid w:val="065B3392"/>
    <w:rsid w:val="06A53383"/>
    <w:rsid w:val="06CA3E14"/>
    <w:rsid w:val="06DA22A2"/>
    <w:rsid w:val="072D2F81"/>
    <w:rsid w:val="074958E1"/>
    <w:rsid w:val="074D26C3"/>
    <w:rsid w:val="07541C13"/>
    <w:rsid w:val="078608E3"/>
    <w:rsid w:val="078E2CF2"/>
    <w:rsid w:val="07A24B1E"/>
    <w:rsid w:val="07BB6140"/>
    <w:rsid w:val="07BC60B3"/>
    <w:rsid w:val="08367CC1"/>
    <w:rsid w:val="08395D30"/>
    <w:rsid w:val="08973524"/>
    <w:rsid w:val="089D668A"/>
    <w:rsid w:val="08A07782"/>
    <w:rsid w:val="08F44BC1"/>
    <w:rsid w:val="08FF69E4"/>
    <w:rsid w:val="09CA15FB"/>
    <w:rsid w:val="09D71932"/>
    <w:rsid w:val="0A420B66"/>
    <w:rsid w:val="0A722199"/>
    <w:rsid w:val="0A7D1EB1"/>
    <w:rsid w:val="0AB36156"/>
    <w:rsid w:val="0ADC79B8"/>
    <w:rsid w:val="0AE41BA8"/>
    <w:rsid w:val="0AE962F7"/>
    <w:rsid w:val="0B357CF0"/>
    <w:rsid w:val="0B542BE4"/>
    <w:rsid w:val="0B676BC5"/>
    <w:rsid w:val="0B8B007F"/>
    <w:rsid w:val="0BA137A0"/>
    <w:rsid w:val="0BE1520A"/>
    <w:rsid w:val="0BF254A5"/>
    <w:rsid w:val="0C1237DB"/>
    <w:rsid w:val="0C1B1EEC"/>
    <w:rsid w:val="0C2F0B8D"/>
    <w:rsid w:val="0C5806CC"/>
    <w:rsid w:val="0CB24D69"/>
    <w:rsid w:val="0CE20CA1"/>
    <w:rsid w:val="0D2C528E"/>
    <w:rsid w:val="0D4F7655"/>
    <w:rsid w:val="0D527A7F"/>
    <w:rsid w:val="0D5663F1"/>
    <w:rsid w:val="0D6D0214"/>
    <w:rsid w:val="0DED5218"/>
    <w:rsid w:val="0E1E05CA"/>
    <w:rsid w:val="0E21353B"/>
    <w:rsid w:val="0E2C2B37"/>
    <w:rsid w:val="0E3C53EA"/>
    <w:rsid w:val="0E51617F"/>
    <w:rsid w:val="0EAF6971"/>
    <w:rsid w:val="0EC15643"/>
    <w:rsid w:val="0ED229E5"/>
    <w:rsid w:val="0F0B0F3A"/>
    <w:rsid w:val="0F102FA9"/>
    <w:rsid w:val="0F20414D"/>
    <w:rsid w:val="0F2B7023"/>
    <w:rsid w:val="0F5B5841"/>
    <w:rsid w:val="0F5E67C6"/>
    <w:rsid w:val="0F696B20"/>
    <w:rsid w:val="0F6E6569"/>
    <w:rsid w:val="0F9161B4"/>
    <w:rsid w:val="0FB42B59"/>
    <w:rsid w:val="0FCB3577"/>
    <w:rsid w:val="0FFF2ACC"/>
    <w:rsid w:val="102C1649"/>
    <w:rsid w:val="109D1177"/>
    <w:rsid w:val="10D15C5C"/>
    <w:rsid w:val="10F7691B"/>
    <w:rsid w:val="11610522"/>
    <w:rsid w:val="117016A9"/>
    <w:rsid w:val="119713B7"/>
    <w:rsid w:val="11BD71AA"/>
    <w:rsid w:val="11CE52C6"/>
    <w:rsid w:val="11F7576D"/>
    <w:rsid w:val="12C31056"/>
    <w:rsid w:val="13274DA3"/>
    <w:rsid w:val="132E0705"/>
    <w:rsid w:val="1357734B"/>
    <w:rsid w:val="136E2957"/>
    <w:rsid w:val="13853312"/>
    <w:rsid w:val="13897687"/>
    <w:rsid w:val="13B9011A"/>
    <w:rsid w:val="13BD2572"/>
    <w:rsid w:val="13EA433B"/>
    <w:rsid w:val="142F663A"/>
    <w:rsid w:val="152E3299"/>
    <w:rsid w:val="155C679B"/>
    <w:rsid w:val="15D66983"/>
    <w:rsid w:val="161E6859"/>
    <w:rsid w:val="162D3FB2"/>
    <w:rsid w:val="166D339A"/>
    <w:rsid w:val="167D017F"/>
    <w:rsid w:val="168077F8"/>
    <w:rsid w:val="16DD382F"/>
    <w:rsid w:val="170148CE"/>
    <w:rsid w:val="170D38E5"/>
    <w:rsid w:val="175B2228"/>
    <w:rsid w:val="17A339EE"/>
    <w:rsid w:val="17B07EE9"/>
    <w:rsid w:val="17BB112B"/>
    <w:rsid w:val="17F52300"/>
    <w:rsid w:val="17F90136"/>
    <w:rsid w:val="187F3411"/>
    <w:rsid w:val="18E35B95"/>
    <w:rsid w:val="18FF308F"/>
    <w:rsid w:val="19100DAA"/>
    <w:rsid w:val="19654B7E"/>
    <w:rsid w:val="19717B4A"/>
    <w:rsid w:val="19805192"/>
    <w:rsid w:val="19E41BC5"/>
    <w:rsid w:val="1A132F57"/>
    <w:rsid w:val="1A263F89"/>
    <w:rsid w:val="1A6745A4"/>
    <w:rsid w:val="1A7853C0"/>
    <w:rsid w:val="1AB0041E"/>
    <w:rsid w:val="1AC8208F"/>
    <w:rsid w:val="1ACD2659"/>
    <w:rsid w:val="1AE97737"/>
    <w:rsid w:val="1B166828"/>
    <w:rsid w:val="1B181180"/>
    <w:rsid w:val="1B554A6F"/>
    <w:rsid w:val="1B797F1F"/>
    <w:rsid w:val="1B9417B8"/>
    <w:rsid w:val="1BEF1033"/>
    <w:rsid w:val="1C00080C"/>
    <w:rsid w:val="1C427D00"/>
    <w:rsid w:val="1C71262F"/>
    <w:rsid w:val="1C9B0535"/>
    <w:rsid w:val="1CE75EF8"/>
    <w:rsid w:val="1CEB0181"/>
    <w:rsid w:val="1D2C65C3"/>
    <w:rsid w:val="1D8827B9"/>
    <w:rsid w:val="1DF7659E"/>
    <w:rsid w:val="1E3823EC"/>
    <w:rsid w:val="1E520DC2"/>
    <w:rsid w:val="1E87015B"/>
    <w:rsid w:val="1EC21DA9"/>
    <w:rsid w:val="1EEC32CA"/>
    <w:rsid w:val="1EF74148"/>
    <w:rsid w:val="1F2D106A"/>
    <w:rsid w:val="1F3507CD"/>
    <w:rsid w:val="1F354C71"/>
    <w:rsid w:val="1F50506D"/>
    <w:rsid w:val="1F51280E"/>
    <w:rsid w:val="1F531875"/>
    <w:rsid w:val="1FD9558D"/>
    <w:rsid w:val="1FF02946"/>
    <w:rsid w:val="200F6337"/>
    <w:rsid w:val="202E41A8"/>
    <w:rsid w:val="203F6EF4"/>
    <w:rsid w:val="20A714C3"/>
    <w:rsid w:val="20D37522"/>
    <w:rsid w:val="20EB1A8B"/>
    <w:rsid w:val="20EF05C9"/>
    <w:rsid w:val="21522DE5"/>
    <w:rsid w:val="218D2419"/>
    <w:rsid w:val="22061872"/>
    <w:rsid w:val="221B4358"/>
    <w:rsid w:val="22796B9E"/>
    <w:rsid w:val="22914E40"/>
    <w:rsid w:val="22DC5E4E"/>
    <w:rsid w:val="22E6057E"/>
    <w:rsid w:val="22F866E1"/>
    <w:rsid w:val="236D75A9"/>
    <w:rsid w:val="23780CBF"/>
    <w:rsid w:val="23B32608"/>
    <w:rsid w:val="23E30A96"/>
    <w:rsid w:val="240552CC"/>
    <w:rsid w:val="240F46B6"/>
    <w:rsid w:val="24190849"/>
    <w:rsid w:val="245931AF"/>
    <w:rsid w:val="24747FE9"/>
    <w:rsid w:val="24B27742"/>
    <w:rsid w:val="24F43A2F"/>
    <w:rsid w:val="25891C28"/>
    <w:rsid w:val="25CD5911"/>
    <w:rsid w:val="25DB26A8"/>
    <w:rsid w:val="2624631F"/>
    <w:rsid w:val="26966A8E"/>
    <w:rsid w:val="26F62F37"/>
    <w:rsid w:val="270E3D1E"/>
    <w:rsid w:val="271B6F16"/>
    <w:rsid w:val="271F003B"/>
    <w:rsid w:val="27346C40"/>
    <w:rsid w:val="27762449"/>
    <w:rsid w:val="27893DAB"/>
    <w:rsid w:val="27B53501"/>
    <w:rsid w:val="27E22DFD"/>
    <w:rsid w:val="27E37119"/>
    <w:rsid w:val="289B34E7"/>
    <w:rsid w:val="28E27E2F"/>
    <w:rsid w:val="28E60C74"/>
    <w:rsid w:val="28E62B38"/>
    <w:rsid w:val="29451A7D"/>
    <w:rsid w:val="29BF1089"/>
    <w:rsid w:val="29C4524A"/>
    <w:rsid w:val="29CE5268"/>
    <w:rsid w:val="29FB2E6A"/>
    <w:rsid w:val="2A0E17D0"/>
    <w:rsid w:val="2A4028DC"/>
    <w:rsid w:val="2A680A43"/>
    <w:rsid w:val="2A746878"/>
    <w:rsid w:val="2A835621"/>
    <w:rsid w:val="2AA42601"/>
    <w:rsid w:val="2AC01F31"/>
    <w:rsid w:val="2AF54989"/>
    <w:rsid w:val="2B3E6082"/>
    <w:rsid w:val="2B9F777F"/>
    <w:rsid w:val="2BD33B65"/>
    <w:rsid w:val="2BD74F7C"/>
    <w:rsid w:val="2BFF288E"/>
    <w:rsid w:val="2C482972"/>
    <w:rsid w:val="2C792587"/>
    <w:rsid w:val="2C9C5FBF"/>
    <w:rsid w:val="2CA77A2D"/>
    <w:rsid w:val="2CCE420F"/>
    <w:rsid w:val="2CD22C15"/>
    <w:rsid w:val="2CDB505B"/>
    <w:rsid w:val="2CE11DF1"/>
    <w:rsid w:val="2D485B6F"/>
    <w:rsid w:val="2D5B12CA"/>
    <w:rsid w:val="2D885FB0"/>
    <w:rsid w:val="2DDE404C"/>
    <w:rsid w:val="2E026ACA"/>
    <w:rsid w:val="2E1348A7"/>
    <w:rsid w:val="2E3F2A1C"/>
    <w:rsid w:val="2E6266D9"/>
    <w:rsid w:val="2E7523CB"/>
    <w:rsid w:val="2E8D574C"/>
    <w:rsid w:val="2E953036"/>
    <w:rsid w:val="2EAA029D"/>
    <w:rsid w:val="2EB765A5"/>
    <w:rsid w:val="2EC830D0"/>
    <w:rsid w:val="2ED93D96"/>
    <w:rsid w:val="2EDB0A6C"/>
    <w:rsid w:val="2FD75F04"/>
    <w:rsid w:val="300C7EE4"/>
    <w:rsid w:val="30103067"/>
    <w:rsid w:val="3025300D"/>
    <w:rsid w:val="30CD6C9E"/>
    <w:rsid w:val="312406A1"/>
    <w:rsid w:val="313D0EA5"/>
    <w:rsid w:val="313E79B5"/>
    <w:rsid w:val="31665B97"/>
    <w:rsid w:val="316D7640"/>
    <w:rsid w:val="317A00BB"/>
    <w:rsid w:val="319F2879"/>
    <w:rsid w:val="31A15D7C"/>
    <w:rsid w:val="31FC4E6F"/>
    <w:rsid w:val="321C1E43"/>
    <w:rsid w:val="32691F42"/>
    <w:rsid w:val="326E26D7"/>
    <w:rsid w:val="329D55D9"/>
    <w:rsid w:val="33126618"/>
    <w:rsid w:val="33334C5D"/>
    <w:rsid w:val="33BC56DC"/>
    <w:rsid w:val="34432ACD"/>
    <w:rsid w:val="344A041F"/>
    <w:rsid w:val="34A71D15"/>
    <w:rsid w:val="34C57BA3"/>
    <w:rsid w:val="34DE2CCB"/>
    <w:rsid w:val="3504212C"/>
    <w:rsid w:val="350E26F7"/>
    <w:rsid w:val="351849C1"/>
    <w:rsid w:val="35594C43"/>
    <w:rsid w:val="3577485D"/>
    <w:rsid w:val="35B20725"/>
    <w:rsid w:val="35B71AE4"/>
    <w:rsid w:val="35C51944"/>
    <w:rsid w:val="35D774FD"/>
    <w:rsid w:val="36013D27"/>
    <w:rsid w:val="36645FCA"/>
    <w:rsid w:val="367365E5"/>
    <w:rsid w:val="36883247"/>
    <w:rsid w:val="36962041"/>
    <w:rsid w:val="36AA77BD"/>
    <w:rsid w:val="371264BB"/>
    <w:rsid w:val="37161C1F"/>
    <w:rsid w:val="37217B5C"/>
    <w:rsid w:val="37364124"/>
    <w:rsid w:val="373D426B"/>
    <w:rsid w:val="37624BE8"/>
    <w:rsid w:val="37872FC4"/>
    <w:rsid w:val="37F94635"/>
    <w:rsid w:val="38527817"/>
    <w:rsid w:val="3857135C"/>
    <w:rsid w:val="385E6B8E"/>
    <w:rsid w:val="3864605D"/>
    <w:rsid w:val="386F2B4A"/>
    <w:rsid w:val="38A5656B"/>
    <w:rsid w:val="38AE3672"/>
    <w:rsid w:val="391D2199"/>
    <w:rsid w:val="3936578F"/>
    <w:rsid w:val="394713D0"/>
    <w:rsid w:val="39477622"/>
    <w:rsid w:val="3961212F"/>
    <w:rsid w:val="399C6A91"/>
    <w:rsid w:val="39CB2002"/>
    <w:rsid w:val="39F0651B"/>
    <w:rsid w:val="39FA26AE"/>
    <w:rsid w:val="39FB720A"/>
    <w:rsid w:val="3A0B2CF9"/>
    <w:rsid w:val="3A1F40FB"/>
    <w:rsid w:val="3A3F4ABC"/>
    <w:rsid w:val="3AF00475"/>
    <w:rsid w:val="3AF91BA6"/>
    <w:rsid w:val="3AF92B9E"/>
    <w:rsid w:val="3B52394A"/>
    <w:rsid w:val="3B5B1163"/>
    <w:rsid w:val="3B6C511E"/>
    <w:rsid w:val="3BA83F70"/>
    <w:rsid w:val="3BAA3A4A"/>
    <w:rsid w:val="3C0E0886"/>
    <w:rsid w:val="3C112402"/>
    <w:rsid w:val="3C2564DA"/>
    <w:rsid w:val="3C304F35"/>
    <w:rsid w:val="3C553E04"/>
    <w:rsid w:val="3C577F8F"/>
    <w:rsid w:val="3CB84AED"/>
    <w:rsid w:val="3CC51993"/>
    <w:rsid w:val="3CF950D8"/>
    <w:rsid w:val="3D06102C"/>
    <w:rsid w:val="3D471A96"/>
    <w:rsid w:val="3DA05553"/>
    <w:rsid w:val="3DEC5488"/>
    <w:rsid w:val="3E0456CC"/>
    <w:rsid w:val="3E636D6A"/>
    <w:rsid w:val="3EDA6972"/>
    <w:rsid w:val="3F966F6B"/>
    <w:rsid w:val="3FCF5C3C"/>
    <w:rsid w:val="3FE33A81"/>
    <w:rsid w:val="40261ECE"/>
    <w:rsid w:val="40487D43"/>
    <w:rsid w:val="4060552B"/>
    <w:rsid w:val="408D0C45"/>
    <w:rsid w:val="40AA1C33"/>
    <w:rsid w:val="40CB061C"/>
    <w:rsid w:val="40CE13E2"/>
    <w:rsid w:val="40E63BC5"/>
    <w:rsid w:val="410F0A26"/>
    <w:rsid w:val="41267873"/>
    <w:rsid w:val="413C1A16"/>
    <w:rsid w:val="4149735F"/>
    <w:rsid w:val="41636052"/>
    <w:rsid w:val="4199652C"/>
    <w:rsid w:val="41E8453E"/>
    <w:rsid w:val="41EF0857"/>
    <w:rsid w:val="422B5A9B"/>
    <w:rsid w:val="425B5639"/>
    <w:rsid w:val="4298644F"/>
    <w:rsid w:val="42AE0712"/>
    <w:rsid w:val="42B2733B"/>
    <w:rsid w:val="42CC3426"/>
    <w:rsid w:val="42D4553E"/>
    <w:rsid w:val="42E71A52"/>
    <w:rsid w:val="42EC3520"/>
    <w:rsid w:val="4311622D"/>
    <w:rsid w:val="431E5D87"/>
    <w:rsid w:val="43346E69"/>
    <w:rsid w:val="43386634"/>
    <w:rsid w:val="435B28AD"/>
    <w:rsid w:val="43664E65"/>
    <w:rsid w:val="43AE631B"/>
    <w:rsid w:val="43D302B8"/>
    <w:rsid w:val="44055877"/>
    <w:rsid w:val="44302CEE"/>
    <w:rsid w:val="443D3AFC"/>
    <w:rsid w:val="44472BCC"/>
    <w:rsid w:val="44647CC4"/>
    <w:rsid w:val="44781760"/>
    <w:rsid w:val="44D053E0"/>
    <w:rsid w:val="45061A4C"/>
    <w:rsid w:val="451A5BEB"/>
    <w:rsid w:val="45255657"/>
    <w:rsid w:val="454B661F"/>
    <w:rsid w:val="4554734F"/>
    <w:rsid w:val="45BF1CE9"/>
    <w:rsid w:val="45D70058"/>
    <w:rsid w:val="45FE2E3F"/>
    <w:rsid w:val="467224C3"/>
    <w:rsid w:val="46E24CB7"/>
    <w:rsid w:val="47546D12"/>
    <w:rsid w:val="47632B42"/>
    <w:rsid w:val="4794337F"/>
    <w:rsid w:val="47983DB5"/>
    <w:rsid w:val="484418FD"/>
    <w:rsid w:val="484F3AB2"/>
    <w:rsid w:val="48AC74A2"/>
    <w:rsid w:val="48B325DE"/>
    <w:rsid w:val="48CC68FF"/>
    <w:rsid w:val="48D3318F"/>
    <w:rsid w:val="48E00EFA"/>
    <w:rsid w:val="48E674A9"/>
    <w:rsid w:val="493010A1"/>
    <w:rsid w:val="49516B58"/>
    <w:rsid w:val="49B83F7E"/>
    <w:rsid w:val="49CF4E2D"/>
    <w:rsid w:val="49FA3AEE"/>
    <w:rsid w:val="49FE24F4"/>
    <w:rsid w:val="4A227A1C"/>
    <w:rsid w:val="4A267E35"/>
    <w:rsid w:val="4A58168F"/>
    <w:rsid w:val="4AC46A3A"/>
    <w:rsid w:val="4ACB13FC"/>
    <w:rsid w:val="4B1C17A4"/>
    <w:rsid w:val="4B2E4DE4"/>
    <w:rsid w:val="4B35476F"/>
    <w:rsid w:val="4B434D8A"/>
    <w:rsid w:val="4BAF0679"/>
    <w:rsid w:val="4BF25429"/>
    <w:rsid w:val="4BFA6AB7"/>
    <w:rsid w:val="4BFD734F"/>
    <w:rsid w:val="4C0E55F3"/>
    <w:rsid w:val="4C2E2CE5"/>
    <w:rsid w:val="4C324162"/>
    <w:rsid w:val="4C455C43"/>
    <w:rsid w:val="4C6961A4"/>
    <w:rsid w:val="4C7622A1"/>
    <w:rsid w:val="4C7F6730"/>
    <w:rsid w:val="4C9C74BC"/>
    <w:rsid w:val="4CB132D9"/>
    <w:rsid w:val="4CB726ED"/>
    <w:rsid w:val="4CD47C18"/>
    <w:rsid w:val="4DC4703C"/>
    <w:rsid w:val="4E1E17FE"/>
    <w:rsid w:val="4E2A34C8"/>
    <w:rsid w:val="4E2B47CD"/>
    <w:rsid w:val="4E633B43"/>
    <w:rsid w:val="4E944BD5"/>
    <w:rsid w:val="4E962786"/>
    <w:rsid w:val="4EBD3D3C"/>
    <w:rsid w:val="4ECF5C98"/>
    <w:rsid w:val="4EF7784F"/>
    <w:rsid w:val="4F1C1B57"/>
    <w:rsid w:val="4F2E70FE"/>
    <w:rsid w:val="4F4C72E9"/>
    <w:rsid w:val="4F5E1BAB"/>
    <w:rsid w:val="4FAB2261"/>
    <w:rsid w:val="4FB758F2"/>
    <w:rsid w:val="4FB768B5"/>
    <w:rsid w:val="4FDA0C90"/>
    <w:rsid w:val="4FDA3C02"/>
    <w:rsid w:val="4FEE344F"/>
    <w:rsid w:val="4FF45D05"/>
    <w:rsid w:val="501F67AB"/>
    <w:rsid w:val="50205B81"/>
    <w:rsid w:val="50443074"/>
    <w:rsid w:val="504B45C2"/>
    <w:rsid w:val="50BA02FE"/>
    <w:rsid w:val="50F647FB"/>
    <w:rsid w:val="511E587D"/>
    <w:rsid w:val="512B716F"/>
    <w:rsid w:val="51954DC4"/>
    <w:rsid w:val="51980E89"/>
    <w:rsid w:val="519A0E23"/>
    <w:rsid w:val="519A4663"/>
    <w:rsid w:val="51C01DAA"/>
    <w:rsid w:val="51C27D36"/>
    <w:rsid w:val="51DC17B6"/>
    <w:rsid w:val="51E44568"/>
    <w:rsid w:val="51FC1166"/>
    <w:rsid w:val="52117FC9"/>
    <w:rsid w:val="52481FEA"/>
    <w:rsid w:val="52925986"/>
    <w:rsid w:val="529620AE"/>
    <w:rsid w:val="529A3EE1"/>
    <w:rsid w:val="52B1623B"/>
    <w:rsid w:val="52B63606"/>
    <w:rsid w:val="52BE21E8"/>
    <w:rsid w:val="52DE38FD"/>
    <w:rsid w:val="52FC75B4"/>
    <w:rsid w:val="5302488E"/>
    <w:rsid w:val="53032806"/>
    <w:rsid w:val="53426A39"/>
    <w:rsid w:val="53577F4E"/>
    <w:rsid w:val="536F35A6"/>
    <w:rsid w:val="53705194"/>
    <w:rsid w:val="53714FF4"/>
    <w:rsid w:val="5392268C"/>
    <w:rsid w:val="53C80811"/>
    <w:rsid w:val="53E9787B"/>
    <w:rsid w:val="540909EB"/>
    <w:rsid w:val="544B4013"/>
    <w:rsid w:val="5457656B"/>
    <w:rsid w:val="54660D84"/>
    <w:rsid w:val="54660FC2"/>
    <w:rsid w:val="546B1888"/>
    <w:rsid w:val="546C518D"/>
    <w:rsid w:val="549459BA"/>
    <w:rsid w:val="54AA570B"/>
    <w:rsid w:val="54BE2A98"/>
    <w:rsid w:val="54DC562C"/>
    <w:rsid w:val="552B0D08"/>
    <w:rsid w:val="558275C0"/>
    <w:rsid w:val="558624E1"/>
    <w:rsid w:val="55AC7D6F"/>
    <w:rsid w:val="55BC38B4"/>
    <w:rsid w:val="563A433F"/>
    <w:rsid w:val="564A221E"/>
    <w:rsid w:val="565405AF"/>
    <w:rsid w:val="56794E67"/>
    <w:rsid w:val="56971BE9"/>
    <w:rsid w:val="5697740A"/>
    <w:rsid w:val="56A63783"/>
    <w:rsid w:val="56C66D92"/>
    <w:rsid w:val="56DC53F6"/>
    <w:rsid w:val="571E12FD"/>
    <w:rsid w:val="575E5E0B"/>
    <w:rsid w:val="57840B20"/>
    <w:rsid w:val="57CA0BC1"/>
    <w:rsid w:val="57ED06D1"/>
    <w:rsid w:val="58160494"/>
    <w:rsid w:val="585844FD"/>
    <w:rsid w:val="586719D9"/>
    <w:rsid w:val="58951D01"/>
    <w:rsid w:val="589F0489"/>
    <w:rsid w:val="58CC7D3F"/>
    <w:rsid w:val="58DA37D1"/>
    <w:rsid w:val="58F70B83"/>
    <w:rsid w:val="59070E1D"/>
    <w:rsid w:val="5945561B"/>
    <w:rsid w:val="59633BAD"/>
    <w:rsid w:val="59B966C3"/>
    <w:rsid w:val="5A837291"/>
    <w:rsid w:val="5AEC7FFD"/>
    <w:rsid w:val="5B3B45B8"/>
    <w:rsid w:val="5B423ECD"/>
    <w:rsid w:val="5B74479A"/>
    <w:rsid w:val="5B7C510D"/>
    <w:rsid w:val="5B8D520F"/>
    <w:rsid w:val="5BAF1661"/>
    <w:rsid w:val="5BB07212"/>
    <w:rsid w:val="5BD25782"/>
    <w:rsid w:val="5C007491"/>
    <w:rsid w:val="5C4F5402"/>
    <w:rsid w:val="5C7133B8"/>
    <w:rsid w:val="5C723888"/>
    <w:rsid w:val="5CA15B97"/>
    <w:rsid w:val="5CBB6CB0"/>
    <w:rsid w:val="5CDC4C66"/>
    <w:rsid w:val="5CE345F1"/>
    <w:rsid w:val="5CEB7973"/>
    <w:rsid w:val="5CEC6008"/>
    <w:rsid w:val="5D0631CD"/>
    <w:rsid w:val="5D1C02FB"/>
    <w:rsid w:val="5D1C12D3"/>
    <w:rsid w:val="5D5C7089"/>
    <w:rsid w:val="5DC77BA2"/>
    <w:rsid w:val="5E04700C"/>
    <w:rsid w:val="5E196F30"/>
    <w:rsid w:val="5E280F21"/>
    <w:rsid w:val="5E793037"/>
    <w:rsid w:val="5EBA426F"/>
    <w:rsid w:val="5EE72B8A"/>
    <w:rsid w:val="5EFD1D4D"/>
    <w:rsid w:val="5F184590"/>
    <w:rsid w:val="5F1F779F"/>
    <w:rsid w:val="5F5F7B97"/>
    <w:rsid w:val="5F8261BE"/>
    <w:rsid w:val="602A0F80"/>
    <w:rsid w:val="604E7E90"/>
    <w:rsid w:val="60BB2A43"/>
    <w:rsid w:val="60E22BF3"/>
    <w:rsid w:val="61037C0C"/>
    <w:rsid w:val="614122CC"/>
    <w:rsid w:val="619736AB"/>
    <w:rsid w:val="623674AE"/>
    <w:rsid w:val="626D4608"/>
    <w:rsid w:val="62950991"/>
    <w:rsid w:val="62FA54F0"/>
    <w:rsid w:val="630F1C12"/>
    <w:rsid w:val="634618F9"/>
    <w:rsid w:val="638D1F52"/>
    <w:rsid w:val="63B776CD"/>
    <w:rsid w:val="63E42EEF"/>
    <w:rsid w:val="6482499D"/>
    <w:rsid w:val="64B14BC2"/>
    <w:rsid w:val="650049A6"/>
    <w:rsid w:val="65113AC4"/>
    <w:rsid w:val="65187A69"/>
    <w:rsid w:val="654B3E73"/>
    <w:rsid w:val="659155FE"/>
    <w:rsid w:val="65A92947"/>
    <w:rsid w:val="65D6587A"/>
    <w:rsid w:val="664E34EF"/>
    <w:rsid w:val="66546760"/>
    <w:rsid w:val="66552ACF"/>
    <w:rsid w:val="667E0635"/>
    <w:rsid w:val="66EA5766"/>
    <w:rsid w:val="66FC171C"/>
    <w:rsid w:val="66FC2F4B"/>
    <w:rsid w:val="672B61CF"/>
    <w:rsid w:val="673E51F0"/>
    <w:rsid w:val="677A75D3"/>
    <w:rsid w:val="67C4501E"/>
    <w:rsid w:val="67CB3C1E"/>
    <w:rsid w:val="67DD3A75"/>
    <w:rsid w:val="67E9310A"/>
    <w:rsid w:val="687D5B7C"/>
    <w:rsid w:val="68900012"/>
    <w:rsid w:val="68A044D6"/>
    <w:rsid w:val="68A11FFC"/>
    <w:rsid w:val="68CF6880"/>
    <w:rsid w:val="690F6F65"/>
    <w:rsid w:val="69123E71"/>
    <w:rsid w:val="69475245"/>
    <w:rsid w:val="695F3CBF"/>
    <w:rsid w:val="69983D07"/>
    <w:rsid w:val="699E413F"/>
    <w:rsid w:val="69E13245"/>
    <w:rsid w:val="6A1231B1"/>
    <w:rsid w:val="6A1E27E4"/>
    <w:rsid w:val="6AD62431"/>
    <w:rsid w:val="6B4A0729"/>
    <w:rsid w:val="6B823960"/>
    <w:rsid w:val="6BA470FE"/>
    <w:rsid w:val="6BBA7620"/>
    <w:rsid w:val="6C20148A"/>
    <w:rsid w:val="6C506213"/>
    <w:rsid w:val="6C564BBD"/>
    <w:rsid w:val="6CD209D6"/>
    <w:rsid w:val="6CF77AF3"/>
    <w:rsid w:val="6CFA617E"/>
    <w:rsid w:val="6D08089B"/>
    <w:rsid w:val="6D305B30"/>
    <w:rsid w:val="6D3754BB"/>
    <w:rsid w:val="6D3B1125"/>
    <w:rsid w:val="6D465AD5"/>
    <w:rsid w:val="6D4C79DE"/>
    <w:rsid w:val="6D5238C5"/>
    <w:rsid w:val="6D7E5C2F"/>
    <w:rsid w:val="6D8E174D"/>
    <w:rsid w:val="6DC0432B"/>
    <w:rsid w:val="6E004F03"/>
    <w:rsid w:val="6E1A6AD8"/>
    <w:rsid w:val="6E3A41E4"/>
    <w:rsid w:val="6E6829CA"/>
    <w:rsid w:val="6E742726"/>
    <w:rsid w:val="6E7736BC"/>
    <w:rsid w:val="6EA91C6D"/>
    <w:rsid w:val="6EF660A4"/>
    <w:rsid w:val="6F051226"/>
    <w:rsid w:val="6F424616"/>
    <w:rsid w:val="6F6150E1"/>
    <w:rsid w:val="6F7B1AEF"/>
    <w:rsid w:val="6F9E6F2E"/>
    <w:rsid w:val="701139EA"/>
    <w:rsid w:val="702E6EEE"/>
    <w:rsid w:val="702F21E7"/>
    <w:rsid w:val="70400CB6"/>
    <w:rsid w:val="70606FEC"/>
    <w:rsid w:val="70636625"/>
    <w:rsid w:val="707B5618"/>
    <w:rsid w:val="709957D5"/>
    <w:rsid w:val="70EC5DDE"/>
    <w:rsid w:val="711D4E21"/>
    <w:rsid w:val="71235CA4"/>
    <w:rsid w:val="71253127"/>
    <w:rsid w:val="713B43D1"/>
    <w:rsid w:val="71432CF3"/>
    <w:rsid w:val="717B0617"/>
    <w:rsid w:val="71823031"/>
    <w:rsid w:val="719E278D"/>
    <w:rsid w:val="71BB3A25"/>
    <w:rsid w:val="71F96A05"/>
    <w:rsid w:val="722B1E8D"/>
    <w:rsid w:val="723423EA"/>
    <w:rsid w:val="72367C59"/>
    <w:rsid w:val="72BD6ACB"/>
    <w:rsid w:val="72DD4E02"/>
    <w:rsid w:val="731068D5"/>
    <w:rsid w:val="732D2E0A"/>
    <w:rsid w:val="73487201"/>
    <w:rsid w:val="73927DA8"/>
    <w:rsid w:val="73C2417B"/>
    <w:rsid w:val="73F13E37"/>
    <w:rsid w:val="73F60FD0"/>
    <w:rsid w:val="73F71642"/>
    <w:rsid w:val="745F01DC"/>
    <w:rsid w:val="746556BE"/>
    <w:rsid w:val="749B69F9"/>
    <w:rsid w:val="74B310ED"/>
    <w:rsid w:val="74BC1873"/>
    <w:rsid w:val="753C2362"/>
    <w:rsid w:val="753C6389"/>
    <w:rsid w:val="758849E0"/>
    <w:rsid w:val="758A3766"/>
    <w:rsid w:val="758E216C"/>
    <w:rsid w:val="759907F6"/>
    <w:rsid w:val="75A91B22"/>
    <w:rsid w:val="75E03DB6"/>
    <w:rsid w:val="75E74F8A"/>
    <w:rsid w:val="76097931"/>
    <w:rsid w:val="7625426C"/>
    <w:rsid w:val="766A1C7F"/>
    <w:rsid w:val="766C0AB1"/>
    <w:rsid w:val="766C6C2F"/>
    <w:rsid w:val="76B52A9A"/>
    <w:rsid w:val="76DF3EDE"/>
    <w:rsid w:val="76F507BA"/>
    <w:rsid w:val="77291F0E"/>
    <w:rsid w:val="773D6076"/>
    <w:rsid w:val="77401B33"/>
    <w:rsid w:val="77721AB3"/>
    <w:rsid w:val="7781252A"/>
    <w:rsid w:val="77D4698D"/>
    <w:rsid w:val="78042B76"/>
    <w:rsid w:val="78106856"/>
    <w:rsid w:val="782E4890"/>
    <w:rsid w:val="78397168"/>
    <w:rsid w:val="783A3050"/>
    <w:rsid w:val="78650950"/>
    <w:rsid w:val="787E7C64"/>
    <w:rsid w:val="792D0A54"/>
    <w:rsid w:val="79337F6D"/>
    <w:rsid w:val="7971692E"/>
    <w:rsid w:val="79C4251B"/>
    <w:rsid w:val="7A0D5743"/>
    <w:rsid w:val="7A155DD9"/>
    <w:rsid w:val="7A1946A1"/>
    <w:rsid w:val="7A1F21F4"/>
    <w:rsid w:val="7A3F0883"/>
    <w:rsid w:val="7A8F5AA2"/>
    <w:rsid w:val="7AB4796D"/>
    <w:rsid w:val="7AF72185"/>
    <w:rsid w:val="7B452056"/>
    <w:rsid w:val="7B915F00"/>
    <w:rsid w:val="7BA7652D"/>
    <w:rsid w:val="7BA91428"/>
    <w:rsid w:val="7BD173B3"/>
    <w:rsid w:val="7BDA26C1"/>
    <w:rsid w:val="7C1A44EB"/>
    <w:rsid w:val="7C282D78"/>
    <w:rsid w:val="7C61599E"/>
    <w:rsid w:val="7C8D1210"/>
    <w:rsid w:val="7C9F0D06"/>
    <w:rsid w:val="7CFE1373"/>
    <w:rsid w:val="7D042C28"/>
    <w:rsid w:val="7D1D701A"/>
    <w:rsid w:val="7D532840"/>
    <w:rsid w:val="7D6D4BD6"/>
    <w:rsid w:val="7DFC570D"/>
    <w:rsid w:val="7E0359DD"/>
    <w:rsid w:val="7E07472A"/>
    <w:rsid w:val="7E7968F1"/>
    <w:rsid w:val="7E8471C3"/>
    <w:rsid w:val="7EC42148"/>
    <w:rsid w:val="7EEF5DC2"/>
    <w:rsid w:val="7EF02F3D"/>
    <w:rsid w:val="7F211C9E"/>
    <w:rsid w:val="7F3776C5"/>
    <w:rsid w:val="7F405249"/>
    <w:rsid w:val="7F5524F8"/>
    <w:rsid w:val="7F5E7584"/>
    <w:rsid w:val="7FB95889"/>
    <w:rsid w:val="7FDC0AF3"/>
    <w:rsid w:val="7FD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217"/>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0"/>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正文文本 字符"/>
    <w:link w:val="32"/>
    <w:qFormat/>
    <w:uiPriority w:val="0"/>
    <w:rPr>
      <w:rFonts w:eastAsia="MS Gothic"/>
      <w:sz w:val="24"/>
      <w:lang w:val="en-GB"/>
    </w:rPr>
  </w:style>
  <w:style w:type="character" w:customStyle="1" w:styleId="98">
    <w:name w:val="正文文本缩进 字符"/>
    <w:link w:val="33"/>
    <w:qFormat/>
    <w:uiPriority w:val="0"/>
    <w:rPr>
      <w:rFonts w:eastAsia="MS Gothic"/>
      <w:sz w:val="24"/>
      <w:lang w:val="en-GB"/>
    </w:rPr>
  </w:style>
  <w:style w:type="character" w:customStyle="1" w:styleId="99">
    <w:name w:val="文档结构图 字符"/>
    <w:link w:val="29"/>
    <w:qFormat/>
    <w:uiPriority w:val="0"/>
    <w:rPr>
      <w:rFonts w:ascii="Tahoma" w:hAnsi="Tahoma" w:eastAsia="MS Gothic"/>
      <w:sz w:val="24"/>
      <w:shd w:val="clear" w:color="auto" w:fill="000080"/>
      <w:lang w:val="en-GB"/>
    </w:rPr>
  </w:style>
  <w:style w:type="character" w:customStyle="1" w:styleId="100">
    <w:name w:val="纯文本 字符"/>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正文文本缩进 2 字符"/>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标题 字符"/>
    <w:link w:val="51"/>
    <w:qFormat/>
    <w:uiPriority w:val="0"/>
    <w:rPr>
      <w:rFonts w:ascii="Arial" w:hAnsi="Arial" w:eastAsia="MS Gothic"/>
      <w:b/>
      <w:sz w:val="24"/>
      <w:lang w:val="en-GB"/>
    </w:rPr>
  </w:style>
  <w:style w:type="character" w:customStyle="1" w:styleId="107">
    <w:name w:val="正文文本 3 字符"/>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批注框文本 字符"/>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批注文字 字符"/>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批注主题 字符"/>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页眉 字符"/>
    <w:link w:val="40"/>
    <w:qFormat/>
    <w:locked/>
    <w:uiPriority w:val="0"/>
    <w:rPr>
      <w:rFonts w:ascii="Arial" w:hAnsi="Arial" w:eastAsia="Times New Roman"/>
      <w:b/>
      <w:sz w:val="18"/>
      <w:lang w:val="en-GB" w:eastAsia="en-GB"/>
    </w:rPr>
  </w:style>
  <w:style w:type="paragraph" w:customStyle="1" w:styleId="129">
    <w:name w:val="修订1"/>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列表段落 字符"/>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页脚 字符"/>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标题 7 字符"/>
    <w:link w:val="9"/>
    <w:qFormat/>
    <w:uiPriority w:val="0"/>
    <w:rPr>
      <w:rFonts w:ascii="Arial" w:hAnsi="Arial" w:eastAsia="Times New Roman"/>
      <w:lang w:val="en-GB" w:eastAsia="en-GB"/>
    </w:rPr>
  </w:style>
  <w:style w:type="character" w:customStyle="1" w:styleId="150">
    <w:name w:val="标题 6 字符"/>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副标题 字符"/>
    <w:basedOn w:val="55"/>
    <w:link w:val="41"/>
    <w:qFormat/>
    <w:uiPriority w:val="0"/>
    <w:rPr>
      <w:rFonts w:ascii="Cambria" w:hAnsi="Cambria" w:eastAsia="Times New Roman"/>
      <w:sz w:val="24"/>
      <w:szCs w:val="24"/>
      <w:lang w:val="en-GB" w:eastAsia="en-IN"/>
    </w:rPr>
  </w:style>
  <w:style w:type="character" w:customStyle="1" w:styleId="157">
    <w:name w:val="正文文本 2 字符"/>
    <w:basedOn w:val="55"/>
    <w:link w:val="47"/>
    <w:qFormat/>
    <w:uiPriority w:val="0"/>
    <w:rPr>
      <w:rFonts w:ascii="Arial" w:hAnsi="Arial" w:eastAsia="Times New Roman"/>
      <w:sz w:val="22"/>
      <w:lang w:val="en-GB" w:eastAsia="en-IN"/>
    </w:rPr>
  </w:style>
  <w:style w:type="character" w:customStyle="1" w:styleId="158">
    <w:name w:val="标题 5 字符"/>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题注 字符"/>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14:textFill>
        <w14:solidFill>
          <w14:schemeClr w14:val="accent1"/>
        </w14:solidFill>
      </w14:textFill>
    </w:rPr>
  </w:style>
  <w:style w:type="character" w:customStyle="1" w:styleId="187">
    <w:name w:val="不明显强调1"/>
    <w:basedOn w:val="55"/>
    <w:qFormat/>
    <w:uiPriority w:val="19"/>
    <w:rPr>
      <w:i/>
      <w:iCs/>
      <w:color w:val="404040" w:themeColor="text1" w:themeTint="BF"/>
      <w14:textFill>
        <w14:solidFill>
          <w14:schemeClr w14:val="tx1">
            <w14:lumMod w14:val="75000"/>
            <w14:lumOff w14:val="25000"/>
          </w14:schemeClr>
        </w14:solidFill>
      </w14:textFill>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rPr>
  </w:style>
  <w:style w:type="character" w:customStyle="1" w:styleId="196">
    <w:name w:val="Subtle Emphasis1"/>
    <w:basedOn w:val="55"/>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Intense Emphasis1"/>
    <w:basedOn w:val="55"/>
    <w:qFormat/>
    <w:uiPriority w:val="21"/>
    <w:rPr>
      <w:i/>
      <w:iCs/>
      <w:color w:val="5B9BD5" w:themeColor="accent1"/>
      <w14:textFill>
        <w14:solidFill>
          <w14:schemeClr w14:val="accent1"/>
        </w14:solidFill>
      </w14:textFill>
    </w:rPr>
  </w:style>
  <w:style w:type="character" w:customStyle="1" w:styleId="198">
    <w:name w:val="Subtle Reference1"/>
    <w:basedOn w:val="5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808080" w:themeColor="text1" w:themeTint="80"/>
      <w:spacing w:val="2"/>
      <w:sz w:val="18"/>
      <w:szCs w:val="18"/>
      <w:lang w:eastAsia="en-IN"/>
      <w14:textFill>
        <w14:solidFill>
          <w14:schemeClr w14:val="tx1">
            <w14:lumMod w14:val="50000"/>
            <w14:lumOff w14:val="50000"/>
          </w14:schemeClr>
        </w14:solidFill>
      </w14:textFill>
    </w:rPr>
  </w:style>
  <w:style w:type="character" w:customStyle="1" w:styleId="202">
    <w:name w:val="IvD Instructiontext Char"/>
    <w:link w:val="201"/>
    <w:qFormat/>
    <w:uiPriority w:val="99"/>
    <w:rPr>
      <w:rFonts w:ascii="Arial" w:hAnsi="Arial" w:eastAsia="Times New Roman"/>
      <w:i/>
      <w:color w:val="808080" w:themeColor="text1" w:themeTint="80"/>
      <w:spacing w:val="2"/>
      <w:sz w:val="18"/>
      <w:szCs w:val="18"/>
      <w:lang w:val="en-GB" w:eastAsia="en-IN"/>
      <w14:textFill>
        <w14:solidFill>
          <w14:schemeClr w14:val="tx1">
            <w14:lumMod w14:val="50000"/>
            <w14:lumOff w14:val="50000"/>
          </w14:schemeClr>
        </w14:solidFill>
      </w14:textFill>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标题 4 字符1"/>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标题 3 字符1"/>
    <w:basedOn w:val="55"/>
    <w:link w:val="4"/>
    <w:qFormat/>
    <w:uiPriority w:val="0"/>
    <w:rPr>
      <w:rFonts w:ascii="Arial" w:hAnsi="Arial" w:eastAsia="Times New Roman"/>
      <w:sz w:val="28"/>
      <w:lang w:val="en-GB" w:eastAsia="en-GB"/>
    </w:rPr>
  </w:style>
  <w:style w:type="character" w:customStyle="1" w:styleId="217">
    <w:name w:val="标题 1 字符1"/>
    <w:basedOn w:val="55"/>
    <w:link w:val="2"/>
    <w:qFormat/>
    <w:uiPriority w:val="0"/>
    <w:rPr>
      <w:rFonts w:ascii="Arial" w:hAnsi="Arial" w:eastAsia="Times New Roman"/>
      <w:sz w:val="36"/>
      <w:lang w:val="en-GB" w:eastAsia="en-GB"/>
    </w:rPr>
  </w:style>
  <w:style w:type="character" w:customStyle="1" w:styleId="218">
    <w:name w:val="标题 2 字符1"/>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 w:type="paragraph" w:customStyle="1" w:styleId="235">
    <w:name w:val="修订2"/>
    <w:hidden/>
    <w:unhideWhenUsed/>
    <w:qFormat/>
    <w:uiPriority w:val="99"/>
    <w:rPr>
      <w:rFonts w:ascii="Times New Roman" w:hAnsi="Times New Roman" w:eastAsia="Times New Roman" w:cs="Times New Roman"/>
      <w:lang w:val="en-GB" w:eastAsia="en-GB" w:bidi="ar-SA"/>
    </w:rPr>
  </w:style>
  <w:style w:type="paragraph" w:customStyle="1" w:styleId="236">
    <w:name w:val="Char"/>
    <w:basedOn w:val="134"/>
    <w:qFormat/>
    <w:uiPriority w:val="0"/>
    <w:pPr>
      <w:keepNext/>
      <w:keepLines/>
      <w:widowControl/>
      <w:numPr>
        <w:ilvl w:val="0"/>
        <w:numId w:val="12"/>
      </w:numPr>
      <w:pBdr>
        <w:top w:val="single" w:color="auto" w:sz="12" w:space="1"/>
      </w:pBdr>
      <w:tabs>
        <w:tab w:val="left" w:pos="1985"/>
      </w:tabs>
      <w:spacing w:before="240" w:after="180"/>
      <w:ind w:firstLine="0"/>
      <w:outlineLvl w:val="0"/>
    </w:pPr>
    <w:rPr>
      <w:rFonts w:ascii="Arial" w:hAnsi="Arial"/>
      <w:kern w:val="0"/>
      <w:sz w:val="32"/>
      <w:szCs w:val="36"/>
    </w:rPr>
  </w:style>
  <w:style w:type="paragraph" w:customStyle="1" w:styleId="23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38">
    <w:name w:val="Guidance"/>
    <w:basedOn w:val="1"/>
    <w:qFormat/>
    <w:uiPriority w:val="0"/>
    <w:rPr>
      <w:i/>
      <w:color w:val="0000FF"/>
    </w:rPr>
  </w:style>
  <w:style w:type="character" w:customStyle="1" w:styleId="239">
    <w:name w:val="列表段落 字符1"/>
    <w:qFormat/>
    <w:locked/>
    <w:uiPriority w:val="34"/>
    <w:rPr>
      <w:rFonts w:eastAsia="MS Mincho"/>
      <w:lang w:val="en-GB" w:eastAsia="en-US"/>
    </w:rPr>
  </w:style>
  <w:style w:type="paragraph" w:styleId="24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7</Pages>
  <Words>1308</Words>
  <Characters>7091</Characters>
  <Lines>158</Lines>
  <Paragraphs>44</Paragraphs>
  <TotalTime>2</TotalTime>
  <ScaleCrop>false</ScaleCrop>
  <LinksUpToDate>false</LinksUpToDate>
  <CharactersWithSpaces>8266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2024-05-27T09:34:00Z</dcterms:created>
  <dc:creator>cmcc</dc:creator>
  <cp:lastModifiedBy>ZTE, Fei Xue</cp:lastModifiedBy>
  <dcterms:modified xsi:type="dcterms:W3CDTF">2025-09-08T09:49:32Z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2052-12.1.0.22529</vt:lpwstr>
  </property>
  <property fmtid="{D5CDD505-2E9C-101B-9397-08002B2CF9AE}" pid="11" name="ICV">
    <vt:lpwstr>C4F2C37742CE498997F6F06E6A6C903C_13</vt:lpwstr>
  </property>
  <property fmtid="{D5CDD505-2E9C-101B-9397-08002B2CF9AE}" pid="12" name="KSOTemplateDocerSaveRecord">
    <vt:lpwstr>eyJoZGlkIjoiNTA2MDIzMjk0NzI5MmEzNWQ4YmNjZGZiMjgzNzc2MDMiLCJ1c2VySWQiOiIxMDQyMjkzMzc0In0=</vt:lpwstr>
  </property>
</Properties>
</file>